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CA8C069"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AE7935">
        <w:rPr>
          <w:b/>
          <w:noProof/>
          <w:sz w:val="24"/>
          <w:lang w:val="en-US"/>
        </w:rPr>
        <w:t>7</w:t>
      </w:r>
      <w:r w:rsidR="0005769A">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E7935">
        <w:rPr>
          <w:b/>
          <w:noProof/>
          <w:sz w:val="24"/>
          <w:lang w:val="en-US"/>
        </w:rPr>
        <w:t>3</w:t>
      </w:r>
      <w:r w:rsidRPr="000C416C">
        <w:rPr>
          <w:b/>
          <w:noProof/>
          <w:sz w:val="24"/>
          <w:lang w:val="en-US"/>
        </w:rPr>
        <w:t>-2</w:t>
      </w:r>
      <w:r w:rsidR="00860820">
        <w:rPr>
          <w:b/>
          <w:noProof/>
          <w:sz w:val="24"/>
          <w:lang w:val="en-US"/>
        </w:rPr>
        <w:t>2</w:t>
      </w:r>
      <w:r w:rsidR="00616AD7">
        <w:rPr>
          <w:b/>
          <w:noProof/>
          <w:sz w:val="24"/>
          <w:lang w:val="en-US"/>
        </w:rPr>
        <w:t>5360</w:t>
      </w:r>
    </w:p>
    <w:p w14:paraId="351CA33D" w14:textId="7126ADA9"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05769A">
        <w:rPr>
          <w:rFonts w:ascii="Arial" w:eastAsia="MS Mincho" w:hAnsi="Arial"/>
          <w:b/>
          <w:noProof/>
          <w:sz w:val="24"/>
        </w:rPr>
        <w:t>October</w:t>
      </w:r>
      <w:r w:rsidR="00C65FAE">
        <w:rPr>
          <w:rFonts w:ascii="Arial" w:eastAsia="MS Mincho" w:hAnsi="Arial"/>
          <w:b/>
          <w:noProof/>
          <w:sz w:val="24"/>
        </w:rPr>
        <w:t xml:space="preserve"> </w:t>
      </w:r>
      <w:r w:rsidR="00AE7935">
        <w:rPr>
          <w:rFonts w:ascii="Arial" w:eastAsia="MS Mincho" w:hAnsi="Arial"/>
          <w:b/>
          <w:noProof/>
          <w:sz w:val="24"/>
        </w:rPr>
        <w:t>1</w:t>
      </w:r>
      <w:r w:rsidR="0005769A">
        <w:rPr>
          <w:rFonts w:ascii="Arial" w:eastAsia="MS Mincho" w:hAnsi="Arial"/>
          <w:b/>
          <w:noProof/>
          <w:sz w:val="24"/>
        </w:rPr>
        <w:t>0</w:t>
      </w:r>
      <w:r w:rsidR="000C416C">
        <w:rPr>
          <w:rFonts w:ascii="Arial" w:eastAsia="MS Mincho" w:hAnsi="Arial"/>
          <w:b/>
          <w:noProof/>
          <w:sz w:val="24"/>
        </w:rPr>
        <w:t xml:space="preserve"> – </w:t>
      </w:r>
      <w:r w:rsidR="0005769A">
        <w:rPr>
          <w:rFonts w:ascii="Arial" w:eastAsia="MS Mincho" w:hAnsi="Arial"/>
          <w:b/>
          <w:noProof/>
          <w:sz w:val="24"/>
        </w:rPr>
        <w:t>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B5D5091"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460EF">
        <w:rPr>
          <w:sz w:val="24"/>
          <w:lang w:val="pt-PT"/>
        </w:rPr>
        <w:t>13.</w:t>
      </w:r>
      <w:r w:rsidR="00524ACC">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738482B3"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w:t>
      </w:r>
      <w:r w:rsidR="00795580">
        <w:rPr>
          <w:rFonts w:ascii="Arial" w:hAnsi="Arial"/>
          <w:bCs/>
          <w:sz w:val="24"/>
        </w:rPr>
        <w:t>d</w:t>
      </w:r>
    </w:p>
    <w:p w14:paraId="74344D9C" w14:textId="4AB59B7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bookmarkStart w:id="0" w:name="OLE_LINK1"/>
      <w:r w:rsidR="009F7817">
        <w:rPr>
          <w:rFonts w:ascii="Arial" w:hAnsi="Arial"/>
          <w:sz w:val="24"/>
        </w:rPr>
        <w:t xml:space="preserve">Enhancements for mobility of IAB-node and </w:t>
      </w:r>
      <w:r w:rsidR="00587FD5">
        <w:rPr>
          <w:rFonts w:ascii="Arial" w:hAnsi="Arial"/>
          <w:sz w:val="24"/>
        </w:rPr>
        <w:t xml:space="preserve">its </w:t>
      </w:r>
      <w:r w:rsidR="009F7817">
        <w:rPr>
          <w:rFonts w:ascii="Arial" w:hAnsi="Arial"/>
          <w:sz w:val="24"/>
        </w:rPr>
        <w:t>served UEs</w:t>
      </w:r>
      <w:bookmarkEnd w:id="0"/>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8ED9B8C" w14:textId="2D725B3D" w:rsidR="009E1969" w:rsidRDefault="009E1969" w:rsidP="009E1969">
      <w:pPr>
        <w:spacing w:after="0"/>
      </w:pPr>
      <w:r>
        <w:t>The last meeting achieved the following agreements on enhancements for mobility of the IAB-node and its served UEs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0284A42" w14:textId="77777777" w:rsidR="000E26D2" w:rsidRPr="00F52F59" w:rsidRDefault="000E26D2" w:rsidP="000E26D2">
            <w:pPr>
              <w:widowControl w:val="0"/>
              <w:ind w:left="144" w:hanging="144"/>
              <w:rPr>
                <w:rFonts w:ascii="Calibri" w:hAnsi="Calibri" w:cs="Calibri"/>
                <w:i/>
                <w:iCs/>
                <w:color w:val="00B050"/>
                <w:kern w:val="2"/>
                <w:sz w:val="16"/>
                <w:szCs w:val="16"/>
              </w:rPr>
            </w:pPr>
            <w:r w:rsidRPr="00F52F59">
              <w:rPr>
                <w:rFonts w:ascii="Calibri" w:hAnsi="Calibri" w:cs="Calibri"/>
                <w:i/>
                <w:iCs/>
                <w:color w:val="00B050"/>
                <w:kern w:val="2"/>
                <w:sz w:val="16"/>
                <w:szCs w:val="16"/>
              </w:rPr>
              <w:t xml:space="preserve">For group mobility enhancement, RAN3 to discuss the benefit and whether to support </w:t>
            </w:r>
            <w:proofErr w:type="spellStart"/>
            <w:r w:rsidRPr="00F52F59">
              <w:rPr>
                <w:rFonts w:ascii="Calibri" w:hAnsi="Calibri" w:cs="Calibri"/>
                <w:i/>
                <w:iCs/>
                <w:color w:val="00B050"/>
                <w:kern w:val="2"/>
                <w:sz w:val="16"/>
                <w:szCs w:val="16"/>
              </w:rPr>
              <w:t>signaling</w:t>
            </w:r>
            <w:proofErr w:type="spellEnd"/>
            <w:r w:rsidRPr="00F52F59">
              <w:rPr>
                <w:rFonts w:ascii="Calibri" w:hAnsi="Calibri" w:cs="Calibri"/>
                <w:i/>
                <w:iCs/>
                <w:color w:val="00B050"/>
                <w:kern w:val="2"/>
                <w:sz w:val="16"/>
                <w:szCs w:val="16"/>
              </w:rPr>
              <w:t xml:space="preserve"> of information related to multiple UE contexts in a single message, during e.g. the handover preparation, path switch, and context release procedures.</w:t>
            </w:r>
          </w:p>
          <w:p w14:paraId="24B57EED" w14:textId="77777777" w:rsidR="000E26D2" w:rsidRPr="00F52F59" w:rsidRDefault="000E26D2" w:rsidP="000E26D2">
            <w:pPr>
              <w:widowControl w:val="0"/>
              <w:ind w:left="144" w:hanging="144"/>
              <w:rPr>
                <w:rFonts w:ascii="Calibri" w:hAnsi="Calibri" w:cs="Calibri"/>
                <w:i/>
                <w:iCs/>
                <w:color w:val="00B050"/>
                <w:kern w:val="2"/>
                <w:sz w:val="16"/>
                <w:szCs w:val="16"/>
              </w:rPr>
            </w:pPr>
            <w:r w:rsidRPr="00F52F59">
              <w:rPr>
                <w:rFonts w:ascii="Calibri" w:hAnsi="Calibri" w:cs="Calibri"/>
                <w:i/>
                <w:iCs/>
                <w:color w:val="00B050"/>
                <w:kern w:val="2"/>
                <w:sz w:val="16"/>
                <w:szCs w:val="16"/>
              </w:rPr>
              <w:t xml:space="preserve">The donor CU should know that the IAB node is “mobile”. </w:t>
            </w:r>
          </w:p>
          <w:p w14:paraId="61D2FF5F" w14:textId="77777777" w:rsidR="000E26D2" w:rsidRPr="00F52F59" w:rsidRDefault="000E26D2" w:rsidP="000E26D2">
            <w:pPr>
              <w:widowControl w:val="0"/>
              <w:ind w:left="144" w:hanging="144"/>
              <w:rPr>
                <w:rFonts w:ascii="Calibri" w:hAnsi="Calibri" w:cs="Calibri"/>
                <w:i/>
                <w:iCs/>
                <w:color w:val="00B050"/>
                <w:kern w:val="2"/>
                <w:sz w:val="16"/>
                <w:szCs w:val="16"/>
              </w:rPr>
            </w:pPr>
            <w:r w:rsidRPr="00F52F59">
              <w:rPr>
                <w:rFonts w:ascii="Calibri" w:hAnsi="Calibri" w:cs="Calibri"/>
                <w:i/>
                <w:iCs/>
                <w:color w:val="00B050"/>
                <w:kern w:val="2"/>
                <w:sz w:val="16"/>
                <w:szCs w:val="16"/>
              </w:rPr>
              <w:t>RAN3 to discuss whether the target IAB-donor should know the migrating IAB-node is “mobile IAB-node” from the source IAB-donor.</w:t>
            </w:r>
          </w:p>
          <w:p w14:paraId="080149EE" w14:textId="3A10EE69" w:rsidR="00B65E42" w:rsidRPr="000E26D2" w:rsidRDefault="000E26D2" w:rsidP="000E26D2">
            <w:pPr>
              <w:widowControl w:val="0"/>
              <w:ind w:left="144" w:hanging="144"/>
              <w:rPr>
                <w:rFonts w:ascii="Calibri" w:hAnsi="Calibri" w:cs="Calibri"/>
                <w:i/>
                <w:iCs/>
                <w:color w:val="00B050"/>
                <w:kern w:val="2"/>
                <w:sz w:val="16"/>
                <w:szCs w:val="16"/>
              </w:rPr>
            </w:pPr>
            <w:r w:rsidRPr="00F52F59">
              <w:rPr>
                <w:rFonts w:ascii="Calibri" w:hAnsi="Calibri" w:cs="Calibri"/>
                <w:i/>
                <w:iCs/>
                <w:color w:val="00B050"/>
                <w:kern w:val="2"/>
                <w:sz w:val="16"/>
                <w:szCs w:val="16"/>
              </w:rPr>
              <w:t>RAN3 to discuss whether to support means to identify onboard UEs.</w:t>
            </w:r>
          </w:p>
        </w:tc>
      </w:tr>
    </w:tbl>
    <w:p w14:paraId="5CA0210C" w14:textId="77777777" w:rsidR="00B65E42" w:rsidRDefault="00B65E42" w:rsidP="006600CD">
      <w:pPr>
        <w:spacing w:after="0"/>
      </w:pPr>
    </w:p>
    <w:p w14:paraId="0D6EAC93" w14:textId="587922EF" w:rsidR="00D45BC0" w:rsidRDefault="00D45BC0" w:rsidP="00D45BC0">
      <w:pPr>
        <w:spacing w:after="0"/>
      </w:pPr>
      <w:r>
        <w:t xml:space="preserve">This contribution aims to make further progress in the discussion of </w:t>
      </w:r>
      <w:r w:rsidR="00BD7D65">
        <w:t>these topics</w:t>
      </w:r>
      <w:r>
        <w:t xml:space="preserve">. </w:t>
      </w:r>
    </w:p>
    <w:p w14:paraId="567263CA" w14:textId="77777777" w:rsidR="00F705E6" w:rsidRPr="00320A6B" w:rsidRDefault="00F705E6" w:rsidP="00382A17"/>
    <w:p w14:paraId="4B385BA9" w14:textId="77777777" w:rsidR="00BA0EDF" w:rsidRPr="00320A6B" w:rsidRDefault="00BA0EDF" w:rsidP="00BA0EDF">
      <w:pPr>
        <w:pStyle w:val="Heading1"/>
      </w:pPr>
      <w:r w:rsidRPr="00320A6B">
        <w:t>2</w:t>
      </w:r>
      <w:r w:rsidRPr="00320A6B">
        <w:tab/>
      </w:r>
      <w:r>
        <w:t>Discussion</w:t>
      </w:r>
    </w:p>
    <w:p w14:paraId="5FF595DC" w14:textId="77777777" w:rsidR="006457D8" w:rsidRPr="00320A6B" w:rsidRDefault="006457D8" w:rsidP="006457D8">
      <w:pPr>
        <w:pStyle w:val="Heading2"/>
      </w:pPr>
      <w:r w:rsidRPr="00320A6B">
        <w:t>2.</w:t>
      </w:r>
      <w:r>
        <w:t>1</w:t>
      </w:r>
      <w:r w:rsidRPr="00320A6B">
        <w:tab/>
      </w:r>
      <w:r>
        <w:t>Support for group mobility</w:t>
      </w:r>
    </w:p>
    <w:p w14:paraId="3AF8C85B" w14:textId="37138F53" w:rsidR="001F5368" w:rsidRDefault="001F5368" w:rsidP="001F5368">
      <w:r>
        <w:t xml:space="preserve">For group mobility, the “bundling” of information related to multiple UE contexts in a single message has the following </w:t>
      </w:r>
      <w:r w:rsidRPr="00205A43">
        <w:rPr>
          <w:b/>
          <w:bCs/>
        </w:rPr>
        <w:t>benefits</w:t>
      </w:r>
      <w:r>
        <w:t>:</w:t>
      </w:r>
    </w:p>
    <w:p w14:paraId="3B4BBC48" w14:textId="6912FB51" w:rsidR="001F5368" w:rsidRDefault="001F5368" w:rsidP="001F5368">
      <w:pPr>
        <w:pStyle w:val="ListParagraph"/>
        <w:numPr>
          <w:ilvl w:val="0"/>
          <w:numId w:val="30"/>
        </w:numPr>
        <w:contextualSpacing w:val="0"/>
      </w:pPr>
      <w:r>
        <w:t>It may reduce message processing since the number of messages is reduced.</w:t>
      </w:r>
    </w:p>
    <w:p w14:paraId="315C64B6" w14:textId="23EA13D4" w:rsidR="001F5368" w:rsidRDefault="001F5368" w:rsidP="001F5368">
      <w:pPr>
        <w:pStyle w:val="ListParagraph"/>
        <w:numPr>
          <w:ilvl w:val="0"/>
          <w:numId w:val="30"/>
        </w:numPr>
        <w:contextualSpacing w:val="0"/>
      </w:pPr>
      <w:r>
        <w:t xml:space="preserve">It may reduce the amount of </w:t>
      </w:r>
      <w:r w:rsidR="00205A43">
        <w:t xml:space="preserve">signalling </w:t>
      </w:r>
      <w:r>
        <w:t>information since information shared among multiple UEs only has to be included once.</w:t>
      </w:r>
    </w:p>
    <w:p w14:paraId="6F9F26EC" w14:textId="1645EB54" w:rsidR="001F5368" w:rsidRDefault="001F5368" w:rsidP="001F5368">
      <w:r>
        <w:t xml:space="preserve">The “bundling” of information related to multiple UE contexts in a single message may have the following </w:t>
      </w:r>
      <w:r w:rsidRPr="00205A43">
        <w:rPr>
          <w:b/>
          <w:bCs/>
        </w:rPr>
        <w:t>shortcomings</w:t>
      </w:r>
      <w:r>
        <w:t>:</w:t>
      </w:r>
    </w:p>
    <w:p w14:paraId="1361AB9E" w14:textId="73691672" w:rsidR="001F5368" w:rsidRDefault="001F5368" w:rsidP="001F5368">
      <w:pPr>
        <w:pStyle w:val="ListParagraph"/>
        <w:numPr>
          <w:ilvl w:val="0"/>
          <w:numId w:val="30"/>
        </w:numPr>
        <w:contextualSpacing w:val="0"/>
      </w:pPr>
      <w:r>
        <w:t>It creates more specification and implementation overhead.</w:t>
      </w:r>
    </w:p>
    <w:p w14:paraId="218F17D1" w14:textId="73DA47C4" w:rsidR="001F5368" w:rsidRDefault="001F5368" w:rsidP="001F5368">
      <w:r>
        <w:t>The bundling of information related to multiple UE contexts was applied in Rel-16 to the IAB UP Configuration Update procedure.</w:t>
      </w:r>
    </w:p>
    <w:p w14:paraId="24C492ED" w14:textId="0FE458D5" w:rsidR="001F5368" w:rsidRDefault="00752A49" w:rsidP="001F5368">
      <w:r>
        <w:t>The message bundling referred to as “g</w:t>
      </w:r>
      <w:r w:rsidR="001F5368">
        <w:t>roup mobility</w:t>
      </w:r>
      <w:r>
        <w:t>”</w:t>
      </w:r>
      <w:r w:rsidR="001F5368">
        <w:t xml:space="preserve"> should </w:t>
      </w:r>
      <w:r>
        <w:t xml:space="preserve">certainly </w:t>
      </w:r>
      <w:r w:rsidR="001F5368">
        <w:t xml:space="preserve">be considered for Rel-18 mobile IAB. However, since the bundling of information related to </w:t>
      </w:r>
      <w:r>
        <w:t>many</w:t>
      </w:r>
      <w:r w:rsidR="001F5368">
        <w:t xml:space="preserve"> UE</w:t>
      </w:r>
      <w:r>
        <w:t xml:space="preserve"> contexts </w:t>
      </w:r>
      <w:r w:rsidR="001F5368">
        <w:t xml:space="preserve">may exceed the maximum message size it should be possible to split the information over multiple messages. This implies that the boundary case, </w:t>
      </w:r>
      <w:r>
        <w:t xml:space="preserve">where </w:t>
      </w:r>
      <w:r w:rsidR="001F5368">
        <w:t>each UE context is delivered via a separate message</w:t>
      </w:r>
      <w:r>
        <w:t>, is</w:t>
      </w:r>
      <w:r w:rsidR="001F5368">
        <w:t xml:space="preserve"> supported as well. For these reason, Rel-18 mobile IAB discussions should primarily focus on the procedures without information bundling and consider information bundling as an optimization after the baseline procedures have been established. </w:t>
      </w:r>
    </w:p>
    <w:p w14:paraId="110B2967" w14:textId="42E7FED7" w:rsidR="001F5368" w:rsidRPr="001F5368" w:rsidRDefault="001F5368" w:rsidP="001F5368">
      <w:pPr>
        <w:rPr>
          <w:b/>
          <w:bCs/>
        </w:rPr>
      </w:pPr>
      <w:r w:rsidRPr="001F5368">
        <w:rPr>
          <w:b/>
          <w:bCs/>
        </w:rPr>
        <w:t xml:space="preserve">Proposal 1: Bundling of information related to multiple UE contexts in a single message to be considered as an optimization after the baseline procedures have been </w:t>
      </w:r>
      <w:r>
        <w:rPr>
          <w:b/>
          <w:bCs/>
        </w:rPr>
        <w:t xml:space="preserve">sufficiently well </w:t>
      </w:r>
      <w:r w:rsidRPr="001F5368">
        <w:rPr>
          <w:b/>
          <w:bCs/>
        </w:rPr>
        <w:t>defined.</w:t>
      </w:r>
    </w:p>
    <w:p w14:paraId="035968C8" w14:textId="77777777" w:rsidR="001F5368" w:rsidRDefault="001F5368" w:rsidP="001F5368"/>
    <w:p w14:paraId="7654359A" w14:textId="4A3B346C" w:rsidR="006457D8" w:rsidRDefault="006457D8" w:rsidP="001F5368">
      <w:pPr>
        <w:pStyle w:val="maintext"/>
        <w:spacing w:before="0" w:after="180"/>
        <w:ind w:firstLine="400"/>
      </w:pPr>
    </w:p>
    <w:p w14:paraId="5C56FC5B" w14:textId="101C2932" w:rsidR="001F5368" w:rsidRDefault="001F5368" w:rsidP="001F5368"/>
    <w:p w14:paraId="2365197D" w14:textId="77777777" w:rsidR="001F5368" w:rsidRPr="001F5368" w:rsidRDefault="001F5368" w:rsidP="001F5368"/>
    <w:p w14:paraId="395B1E25" w14:textId="78B9A159" w:rsidR="001F5368" w:rsidRDefault="001F5368" w:rsidP="001F5368">
      <w:pPr>
        <w:pStyle w:val="Heading2"/>
      </w:pPr>
      <w:r w:rsidRPr="00320A6B">
        <w:t>2.</w:t>
      </w:r>
      <w:r>
        <w:t>2</w:t>
      </w:r>
      <w:r w:rsidRPr="00320A6B">
        <w:tab/>
      </w:r>
      <w:r>
        <w:t>IAB-node mobility indication</w:t>
      </w:r>
    </w:p>
    <w:p w14:paraId="3329B2D2" w14:textId="77777777" w:rsidR="00CD74B6" w:rsidRDefault="00CD74B6" w:rsidP="001F5368">
      <w:r>
        <w:t>RAN3 agreed that the network should know about the IAB-node’s mobility status. In this contribution, only the binary status is discussed (i.e., mobile IAB-node vs. non-mobile IAB-node). Other parameters, e.g., the mobile IAB-node’s position and speed measurements are currently discussed in RAN2.</w:t>
      </w:r>
    </w:p>
    <w:p w14:paraId="14EC349B" w14:textId="367EA26B" w:rsidR="001F5368" w:rsidRDefault="0012527D" w:rsidP="001F5368">
      <w:r>
        <w:t>The mobile IAB-node can send a mobile-IAB status indicator to the network. There are two options for this indicator to be passed:</w:t>
      </w:r>
    </w:p>
    <w:p w14:paraId="5DADAA66" w14:textId="6A81F768" w:rsidR="0012527D" w:rsidRDefault="0012527D" w:rsidP="001F5368">
      <w:r w:rsidRPr="00C060C8">
        <w:rPr>
          <w:b/>
          <w:bCs/>
        </w:rPr>
        <w:t>Option 1:</w:t>
      </w:r>
      <w:r>
        <w:t xml:space="preserve"> The mobile-IAB status is passed via RRC.</w:t>
      </w:r>
    </w:p>
    <w:p w14:paraId="16FD467F" w14:textId="3A1D9095" w:rsidR="0012527D" w:rsidRDefault="0012527D" w:rsidP="0012527D">
      <w:pPr>
        <w:pStyle w:val="ListParagraph"/>
        <w:numPr>
          <w:ilvl w:val="0"/>
          <w:numId w:val="30"/>
        </w:numPr>
      </w:pPr>
      <w:r>
        <w:t>Based on this indicator, the network can initiate MDT procedures or positioning procedures to identify the mobile IAB-node’s location and velocity.</w:t>
      </w:r>
      <w:r w:rsidR="00C060C8">
        <w:t xml:space="preserve"> It can activate or </w:t>
      </w:r>
      <w:proofErr w:type="spellStart"/>
      <w:r w:rsidR="00C060C8">
        <w:t>deactive</w:t>
      </w:r>
      <w:proofErr w:type="spellEnd"/>
      <w:r w:rsidR="00C060C8">
        <w:t xml:space="preserve"> cells based on the outcome of these measurements, e.g., restricted to a certain area or speed range.</w:t>
      </w:r>
    </w:p>
    <w:p w14:paraId="1285C96A" w14:textId="77777777" w:rsidR="00C060C8" w:rsidRDefault="00C060C8" w:rsidP="00C060C8">
      <w:pPr>
        <w:pStyle w:val="ListParagraph"/>
      </w:pPr>
    </w:p>
    <w:p w14:paraId="2903C61C" w14:textId="67E38592" w:rsidR="00C060C8" w:rsidRDefault="0012527D" w:rsidP="00053D9E">
      <w:pPr>
        <w:pStyle w:val="ListParagraph"/>
        <w:numPr>
          <w:ilvl w:val="0"/>
          <w:numId w:val="30"/>
        </w:numPr>
      </w:pPr>
      <w:r>
        <w:t xml:space="preserve">In case the mobile IAB-node performs partial </w:t>
      </w:r>
      <w:r w:rsidR="00CD74B6">
        <w:t xml:space="preserve">or full </w:t>
      </w:r>
      <w:r>
        <w:t xml:space="preserve">migration, the </w:t>
      </w:r>
      <w:r w:rsidR="00C060C8">
        <w:t>mobile-IAB indication can be passed in the handover request message to the target IAB-donor. In this manner, the source and the target CU are aware of the mobile IAB-node’s status. Further, the target CU is aware of the IAB-node’s status and can continue with MDT procedures and/or positioning measurements. Also, the target CU (opposed to the source CU) represents the true location of the IAB-node.</w:t>
      </w:r>
    </w:p>
    <w:p w14:paraId="3821A6E0" w14:textId="75B4829D" w:rsidR="0012527D" w:rsidRDefault="0012527D" w:rsidP="00C060C8">
      <w:r w:rsidRPr="00C060C8">
        <w:rPr>
          <w:b/>
          <w:bCs/>
        </w:rPr>
        <w:t>Option 2:</w:t>
      </w:r>
      <w:r>
        <w:t xml:space="preserve"> The mobile-IAB status is passed via F1AP.</w:t>
      </w:r>
    </w:p>
    <w:p w14:paraId="28F33B9C" w14:textId="7F8886CC" w:rsidR="005C5D9D" w:rsidRDefault="00C060C8" w:rsidP="00C060C8">
      <w:pPr>
        <w:pStyle w:val="ListParagraph"/>
        <w:numPr>
          <w:ilvl w:val="0"/>
          <w:numId w:val="30"/>
        </w:numPr>
      </w:pPr>
      <w:r>
        <w:t>The network can apply MDT procedures or positioning procedures for the IAB-MT that is collocated with the IAB-DU</w:t>
      </w:r>
      <w:r w:rsidR="00CD74B6">
        <w:t xml:space="preserve"> sending</w:t>
      </w:r>
      <w:r>
        <w:t xml:space="preserve"> the mobile-IAB indication.  It can also activate/deactivate cells based on the outcome of these measurements. In this respect, the same functionality can be supported as for RRC-based mobile-IAB </w:t>
      </w:r>
      <w:r w:rsidR="00AE7DF3">
        <w:t xml:space="preserve">status </w:t>
      </w:r>
      <w:r>
        <w:t>indication.</w:t>
      </w:r>
    </w:p>
    <w:p w14:paraId="7637B54A" w14:textId="77777777" w:rsidR="00C060C8" w:rsidRDefault="00C060C8" w:rsidP="00C060C8">
      <w:pPr>
        <w:pStyle w:val="ListParagraph"/>
      </w:pPr>
    </w:p>
    <w:p w14:paraId="614BEFE1" w14:textId="77777777" w:rsidR="00FB2598" w:rsidRDefault="00C060C8" w:rsidP="00C060C8">
      <w:pPr>
        <w:pStyle w:val="ListParagraph"/>
        <w:numPr>
          <w:ilvl w:val="0"/>
          <w:numId w:val="30"/>
        </w:numPr>
      </w:pPr>
      <w:r>
        <w:t>In case the mobile IAB-node performs partial migration, the</w:t>
      </w:r>
      <w:r w:rsidR="00FB2598">
        <w:t xml:space="preserve">re is no default mechanism to pass the </w:t>
      </w:r>
      <w:r>
        <w:t xml:space="preserve">indication to the target CU. </w:t>
      </w:r>
      <w:r w:rsidR="00FB2598">
        <w:t>Further, the F1-terminating CU (i.e., the source CU) does not represent the IAB-node’s true location.</w:t>
      </w:r>
    </w:p>
    <w:p w14:paraId="393E7B6E" w14:textId="77777777" w:rsidR="00FB2598" w:rsidRDefault="00FB2598" w:rsidP="00FB2598">
      <w:pPr>
        <w:pStyle w:val="ListParagraph"/>
      </w:pPr>
    </w:p>
    <w:p w14:paraId="754FF417" w14:textId="77777777" w:rsidR="00FB2598" w:rsidRDefault="00FB2598" w:rsidP="00FB2598">
      <w:r>
        <w:t>Based on this analysis, the following is proposed:</w:t>
      </w:r>
    </w:p>
    <w:p w14:paraId="14699C77" w14:textId="525B1C83" w:rsidR="00C060C8" w:rsidRPr="00FB2598" w:rsidRDefault="00FB2598" w:rsidP="00FB2598">
      <w:pPr>
        <w:rPr>
          <w:b/>
          <w:bCs/>
        </w:rPr>
      </w:pPr>
      <w:r w:rsidRPr="00FB2598">
        <w:rPr>
          <w:b/>
          <w:bCs/>
        </w:rPr>
        <w:t xml:space="preserve">Proposal 2-1: </w:t>
      </w:r>
      <w:r w:rsidR="00C060C8" w:rsidRPr="00FB2598">
        <w:rPr>
          <w:b/>
          <w:bCs/>
        </w:rPr>
        <w:t xml:space="preserve"> </w:t>
      </w:r>
      <w:r w:rsidRPr="00FB2598">
        <w:rPr>
          <w:b/>
          <w:bCs/>
        </w:rPr>
        <w:t xml:space="preserve">The mobile-IAB </w:t>
      </w:r>
      <w:r w:rsidR="00AE7DF3">
        <w:rPr>
          <w:b/>
          <w:bCs/>
        </w:rPr>
        <w:t xml:space="preserve">status </w:t>
      </w:r>
      <w:r w:rsidRPr="00FB2598">
        <w:rPr>
          <w:b/>
          <w:bCs/>
        </w:rPr>
        <w:t>indication to be sent by the mobile IAB-MT to the CU.</w:t>
      </w:r>
    </w:p>
    <w:p w14:paraId="4D43CAEE" w14:textId="22F2D40F" w:rsidR="00FB2598" w:rsidRPr="00FB2598" w:rsidRDefault="00FB2598" w:rsidP="00FB2598">
      <w:pPr>
        <w:rPr>
          <w:b/>
          <w:bCs/>
        </w:rPr>
      </w:pPr>
      <w:r w:rsidRPr="00FB2598">
        <w:rPr>
          <w:b/>
          <w:bCs/>
        </w:rPr>
        <w:t xml:space="preserve">Proposal 2-2: The mobile-IAB </w:t>
      </w:r>
      <w:r w:rsidR="00AE7DF3">
        <w:rPr>
          <w:b/>
          <w:bCs/>
        </w:rPr>
        <w:t xml:space="preserve">status </w:t>
      </w:r>
      <w:r w:rsidRPr="00FB2598">
        <w:rPr>
          <w:b/>
          <w:bCs/>
        </w:rPr>
        <w:t>indication to be forwarded in the IAB-MT’s handover request to the target CU.</w:t>
      </w:r>
    </w:p>
    <w:p w14:paraId="143791BE" w14:textId="77777777" w:rsidR="005C5D9D" w:rsidRPr="001F5368" w:rsidRDefault="005C5D9D" w:rsidP="001F5368"/>
    <w:p w14:paraId="3B838C80" w14:textId="2C0700E6" w:rsidR="001F5368" w:rsidRDefault="001F5368" w:rsidP="001F5368">
      <w:pPr>
        <w:pStyle w:val="Heading2"/>
      </w:pPr>
      <w:r w:rsidRPr="00320A6B">
        <w:t>2.</w:t>
      </w:r>
      <w:r>
        <w:t>3</w:t>
      </w:r>
      <w:r w:rsidRPr="00320A6B">
        <w:tab/>
      </w:r>
      <w:r>
        <w:t>Onboard status of UEs</w:t>
      </w:r>
    </w:p>
    <w:p w14:paraId="45D1E5A7" w14:textId="38C07495" w:rsidR="0069267C" w:rsidRDefault="0069267C" w:rsidP="0069267C">
      <w:r>
        <w:t xml:space="preserve">The mobile IAB-node can serve onboard and surrounding UEs. The mobile IAB-node can aim to only serve </w:t>
      </w:r>
      <w:r w:rsidR="00344D0C">
        <w:t xml:space="preserve">onboard UEs, to only serve </w:t>
      </w:r>
      <w:r>
        <w:t>surrounding UEs</w:t>
      </w:r>
      <w:r w:rsidR="00344D0C">
        <w:t>, or both</w:t>
      </w:r>
      <w:r>
        <w:t xml:space="preserve">. However, the WID precludes optimizations for </w:t>
      </w:r>
      <w:r w:rsidR="00344D0C">
        <w:t xml:space="preserve">the </w:t>
      </w:r>
      <w:r>
        <w:t>scenario where the mobile IAB-node aims to serve surrounding UEs.</w:t>
      </w:r>
    </w:p>
    <w:p w14:paraId="20641DF3" w14:textId="3C93B6A0" w:rsidR="0069267C" w:rsidRDefault="0069267C" w:rsidP="0069267C">
      <w:r>
        <w:t>This implies that optimizations can be considered for scenarios, where the mobile IAB-node aims to serve onboard UEs. In case such optimizations are also useful for surrounding UEs</w:t>
      </w:r>
      <w:r w:rsidR="002C18E1">
        <w:t>,</w:t>
      </w:r>
      <w:r>
        <w:t xml:space="preserve"> </w:t>
      </w:r>
      <w:r w:rsidR="002C18E1">
        <w:t>which</w:t>
      </w:r>
      <w:r>
        <w:t xml:space="preserve"> happen to be served by </w:t>
      </w:r>
      <w:r w:rsidR="002C18E1">
        <w:t>the</w:t>
      </w:r>
      <w:r>
        <w:t xml:space="preserve"> IAB-node, nothing is going to break. A problem arises if the optimizations only apply to onboard UEs</w:t>
      </w:r>
      <w:r w:rsidR="002C18E1">
        <w:t>,</w:t>
      </w:r>
      <w:r>
        <w:t xml:space="preserve"> </w:t>
      </w:r>
      <w:r w:rsidR="002C18E1">
        <w:t>since in this case,</w:t>
      </w:r>
      <w:r>
        <w:t xml:space="preserve"> they may have adverse impact if applied to surrounding UEs. For such optimization</w:t>
      </w:r>
      <w:r w:rsidR="002C18E1">
        <w:t>s</w:t>
      </w:r>
      <w:r>
        <w:t>, it would be useful to identify the UE</w:t>
      </w:r>
      <w:r w:rsidR="002C18E1">
        <w:t xml:space="preserve"> that have “</w:t>
      </w:r>
      <w:r>
        <w:t>onboard status</w:t>
      </w:r>
      <w:r w:rsidR="002C18E1">
        <w:t>”, i.e., that reside onboard the vehicle with the mobile IAB-node</w:t>
      </w:r>
      <w:r>
        <w:t xml:space="preserve">. </w:t>
      </w:r>
    </w:p>
    <w:p w14:paraId="75800691" w14:textId="1DD51455" w:rsidR="0069267C" w:rsidRDefault="0069267C" w:rsidP="0069267C">
      <w:r>
        <w:t>The following aspects need to be considered:</w:t>
      </w:r>
    </w:p>
    <w:p w14:paraId="1279CA89" w14:textId="6927CB3C" w:rsidR="0069267C" w:rsidRPr="0081274B" w:rsidRDefault="0069267C" w:rsidP="005A5C04">
      <w:pPr>
        <w:ind w:left="432"/>
        <w:rPr>
          <w:b/>
          <w:bCs/>
        </w:rPr>
      </w:pPr>
      <w:r w:rsidRPr="0081274B">
        <w:rPr>
          <w:b/>
          <w:bCs/>
        </w:rPr>
        <w:t xml:space="preserve">1. Are there any optimizations that should </w:t>
      </w:r>
      <w:r w:rsidRPr="0081274B">
        <w:rPr>
          <w:b/>
          <w:bCs/>
          <w:u w:val="single"/>
        </w:rPr>
        <w:t>only</w:t>
      </w:r>
      <w:r w:rsidRPr="0081274B">
        <w:rPr>
          <w:b/>
          <w:bCs/>
        </w:rPr>
        <w:t xml:space="preserve"> be applied to onboard UEs?</w:t>
      </w:r>
    </w:p>
    <w:p w14:paraId="606365B1" w14:textId="41354189" w:rsidR="0069267C" w:rsidRPr="0081274B" w:rsidRDefault="0069267C" w:rsidP="005A5C04">
      <w:pPr>
        <w:ind w:left="432"/>
        <w:rPr>
          <w:b/>
          <w:bCs/>
        </w:rPr>
      </w:pPr>
      <w:r w:rsidRPr="0081274B">
        <w:rPr>
          <w:b/>
          <w:bCs/>
        </w:rPr>
        <w:t xml:space="preserve">2. How could the network (or the UE itself) identify the UE’s </w:t>
      </w:r>
      <w:r w:rsidRPr="002C18E1">
        <w:rPr>
          <w:b/>
          <w:bCs/>
          <w:u w:val="single"/>
        </w:rPr>
        <w:t>onboard</w:t>
      </w:r>
      <w:r w:rsidRPr="0081274B">
        <w:rPr>
          <w:b/>
          <w:bCs/>
        </w:rPr>
        <w:t xml:space="preserve"> status?</w:t>
      </w:r>
    </w:p>
    <w:p w14:paraId="5FFB5336" w14:textId="64CC3EF0" w:rsidR="00044705" w:rsidRDefault="006C372A" w:rsidP="00044705">
      <w:r w:rsidRPr="00BC3E21">
        <w:rPr>
          <w:b/>
          <w:bCs/>
        </w:rPr>
        <w:lastRenderedPageBreak/>
        <w:t>On 1:</w:t>
      </w:r>
      <w:r>
        <w:t xml:space="preserve"> Presently, no optimization</w:t>
      </w:r>
      <w:r w:rsidR="00BC3E21">
        <w:t>s</w:t>
      </w:r>
      <w:r>
        <w:t xml:space="preserve"> ha</w:t>
      </w:r>
      <w:r w:rsidR="00BC3E21">
        <w:t>ve</w:t>
      </w:r>
      <w:r>
        <w:t xml:space="preserve"> been proposed </w:t>
      </w:r>
      <w:r w:rsidR="00BC3E21">
        <w:t xml:space="preserve">in RAN3 </w:t>
      </w:r>
      <w:r>
        <w:t>that would require the knowledge of the UE’s onboard status.</w:t>
      </w:r>
      <w:r w:rsidR="00044705">
        <w:t xml:space="preserve"> However, such optimizations may be possible by implementation, i.e., the network may avoid UE handovers between the mobile IAB-node and the stationary network for onboard UEs, e.g., in case the mobile IAB-node is known to move with high speed. The network may support such handovers in case the mobile IAB-node is known to move with slow speed or to be stationary. The network might derive the mobile IAB-node’s speed, e.g., using MDT procedures. </w:t>
      </w:r>
      <w:r w:rsidR="00BC3E21">
        <w:t>All of this</w:t>
      </w:r>
      <w:r w:rsidR="00044705">
        <w:t xml:space="preserve"> implies that there are potentially benefits to identify the UE’s onboard status.</w:t>
      </w:r>
    </w:p>
    <w:p w14:paraId="14EDC52A" w14:textId="15C1C8DC" w:rsidR="00044705" w:rsidRDefault="006C372A" w:rsidP="0069267C">
      <w:r w:rsidRPr="00BC3E21">
        <w:rPr>
          <w:b/>
          <w:bCs/>
        </w:rPr>
        <w:t>On 2:</w:t>
      </w:r>
      <w:r>
        <w:t xml:space="preserve"> </w:t>
      </w:r>
      <w:r w:rsidR="00963368">
        <w:t>The network could infer the UE’s onboard status from the following information:</w:t>
      </w:r>
    </w:p>
    <w:p w14:paraId="0D7BEF19" w14:textId="4399612C" w:rsidR="00963368" w:rsidRPr="005A5C04" w:rsidRDefault="00963368" w:rsidP="005A5C04">
      <w:pPr>
        <w:ind w:left="432"/>
      </w:pPr>
      <w:r w:rsidRPr="005A5C04">
        <w:t xml:space="preserve">a) UE measurement reports indicating strong </w:t>
      </w:r>
      <w:proofErr w:type="spellStart"/>
      <w:r w:rsidRPr="005A5C04">
        <w:t>signaling</w:t>
      </w:r>
      <w:proofErr w:type="spellEnd"/>
      <w:r w:rsidRPr="005A5C04">
        <w:t xml:space="preserve"> received form the mobile IAB-node, potentially for some extended time.</w:t>
      </w:r>
    </w:p>
    <w:p w14:paraId="1D2BDACD" w14:textId="0A0F350C" w:rsidR="00963368" w:rsidRPr="005A5C04" w:rsidRDefault="00963368" w:rsidP="005A5C04">
      <w:pPr>
        <w:ind w:left="432"/>
      </w:pPr>
      <w:r w:rsidRPr="005A5C04">
        <w:t xml:space="preserve">b) Speed measurements (e.g., via MDT procedures) from the UE and the mobile IAB-node, potentially taken over some extended time. </w:t>
      </w:r>
    </w:p>
    <w:p w14:paraId="6F16F38D" w14:textId="47C402C9" w:rsidR="006457D8" w:rsidRPr="005A5C04" w:rsidRDefault="00963368" w:rsidP="005A5C04">
      <w:pPr>
        <w:ind w:left="432"/>
      </w:pPr>
      <w:r w:rsidRPr="005A5C04">
        <w:t>c) Assistance information by the mobile IAB-node on whether cell</w:t>
      </w:r>
      <w:r w:rsidR="005A5C04" w:rsidRPr="005A5C04">
        <w:t>’s coverage targets onboard or surrounding area. The cell inside a vehicle would indicate its aim to provide onboard coverage, while the cell on a drone would not indicate the aim to provide onboard coverage.</w:t>
      </w:r>
      <w:r w:rsidR="00BC3E21">
        <w:t xml:space="preserve"> The network can the derive the UE’s onboard status by the cell ID included in the measurement report.</w:t>
      </w:r>
    </w:p>
    <w:p w14:paraId="48717F8C" w14:textId="1F0807C1" w:rsidR="005A5C04" w:rsidRPr="005A5C04" w:rsidRDefault="005A5C04" w:rsidP="005A5C04">
      <w:pPr>
        <w:rPr>
          <w:b/>
          <w:bCs/>
        </w:rPr>
      </w:pPr>
      <w:r w:rsidRPr="005A5C04">
        <w:rPr>
          <w:b/>
          <w:bCs/>
        </w:rPr>
        <w:t xml:space="preserve">Observation 1: </w:t>
      </w:r>
      <w:r>
        <w:rPr>
          <w:b/>
          <w:bCs/>
        </w:rPr>
        <w:t>K</w:t>
      </w:r>
      <w:r w:rsidRPr="005A5C04">
        <w:rPr>
          <w:b/>
          <w:bCs/>
        </w:rPr>
        <w:t>nowledge of the UE’s onboard status may have benefits for implementation-based handover decisions.</w:t>
      </w:r>
    </w:p>
    <w:p w14:paraId="290E92DB" w14:textId="5DEF3EB4" w:rsidR="00DA5230" w:rsidRDefault="005A5C04" w:rsidP="005A5C04">
      <w:pPr>
        <w:rPr>
          <w:b/>
          <w:bCs/>
        </w:rPr>
      </w:pPr>
      <w:r>
        <w:rPr>
          <w:b/>
          <w:bCs/>
        </w:rPr>
        <w:t xml:space="preserve">Observation 2: </w:t>
      </w:r>
      <w:r w:rsidR="00DA5230">
        <w:rPr>
          <w:b/>
          <w:bCs/>
        </w:rPr>
        <w:t xml:space="preserve">The mobile IAB-node </w:t>
      </w:r>
      <w:r w:rsidR="00541123">
        <w:rPr>
          <w:b/>
          <w:bCs/>
        </w:rPr>
        <w:t xml:space="preserve">may </w:t>
      </w:r>
      <w:r w:rsidR="00BC3E21">
        <w:rPr>
          <w:b/>
          <w:bCs/>
        </w:rPr>
        <w:t>assist the network to identify the UE’s onboard status by</w:t>
      </w:r>
      <w:r w:rsidR="00DA5230">
        <w:rPr>
          <w:b/>
          <w:bCs/>
        </w:rPr>
        <w:t xml:space="preserve"> indicat</w:t>
      </w:r>
      <w:r w:rsidR="00BC3E21">
        <w:rPr>
          <w:b/>
          <w:bCs/>
        </w:rPr>
        <w:t xml:space="preserve">ing </w:t>
      </w:r>
      <w:r w:rsidR="00DA5230">
        <w:rPr>
          <w:b/>
          <w:bCs/>
        </w:rPr>
        <w:t xml:space="preserve">for each cell if it aims to serve onboard UEs. </w:t>
      </w:r>
    </w:p>
    <w:p w14:paraId="2668B481" w14:textId="080FFE5C" w:rsidR="005A5C04" w:rsidRDefault="00DA5230" w:rsidP="005A5C04">
      <w:pPr>
        <w:rPr>
          <w:b/>
          <w:bCs/>
        </w:rPr>
      </w:pPr>
      <w:r>
        <w:rPr>
          <w:b/>
          <w:bCs/>
        </w:rPr>
        <w:t xml:space="preserve">Proposal </w:t>
      </w:r>
      <w:r w:rsidR="00FB2598">
        <w:rPr>
          <w:b/>
          <w:bCs/>
        </w:rPr>
        <w:t>3</w:t>
      </w:r>
      <w:r>
        <w:rPr>
          <w:b/>
          <w:bCs/>
        </w:rPr>
        <w:t xml:space="preserve">: </w:t>
      </w:r>
      <w:r w:rsidR="005A5C04">
        <w:rPr>
          <w:b/>
          <w:bCs/>
        </w:rPr>
        <w:t>The mobile IAB-</w:t>
      </w:r>
      <w:r w:rsidR="00573003">
        <w:rPr>
          <w:b/>
          <w:bCs/>
        </w:rPr>
        <w:t>DU</w:t>
      </w:r>
      <w:r w:rsidR="005A5C04">
        <w:rPr>
          <w:b/>
          <w:bCs/>
        </w:rPr>
        <w:t xml:space="preserve"> to </w:t>
      </w:r>
      <w:r w:rsidR="00573003">
        <w:rPr>
          <w:b/>
          <w:bCs/>
        </w:rPr>
        <w:t>report</w:t>
      </w:r>
      <w:r w:rsidR="005A5C04">
        <w:rPr>
          <w:b/>
          <w:bCs/>
        </w:rPr>
        <w:t xml:space="preserve"> </w:t>
      </w:r>
      <w:r w:rsidR="00573003">
        <w:rPr>
          <w:b/>
          <w:bCs/>
        </w:rPr>
        <w:t xml:space="preserve">to the network </w:t>
      </w:r>
      <w:r w:rsidR="005A5C04">
        <w:rPr>
          <w:b/>
          <w:bCs/>
        </w:rPr>
        <w:t>for each cell if it aims to serve onboard UEs.</w:t>
      </w:r>
    </w:p>
    <w:p w14:paraId="7964E238" w14:textId="77777777" w:rsidR="0012527D" w:rsidRDefault="0012527D" w:rsidP="005A5C04">
      <w:pPr>
        <w:rPr>
          <w:b/>
          <w:bCs/>
        </w:rPr>
      </w:pPr>
    </w:p>
    <w:p w14:paraId="1B0B0B3B" w14:textId="15CBE5CA" w:rsidR="001F5368" w:rsidRDefault="001F5368" w:rsidP="001F5368">
      <w:pPr>
        <w:pStyle w:val="Heading2"/>
      </w:pPr>
      <w:r w:rsidRPr="00320A6B">
        <w:t>2.</w:t>
      </w:r>
      <w:r>
        <w:t>4</w:t>
      </w:r>
      <w:r w:rsidRPr="00320A6B">
        <w:tab/>
      </w:r>
      <w:r>
        <w:t>Location info</w:t>
      </w:r>
    </w:p>
    <w:p w14:paraId="7BC826BE" w14:textId="29947A15" w:rsidR="00FB2598" w:rsidRDefault="00FB2598" w:rsidP="001F5368">
      <w:r>
        <w:t xml:space="preserve">The UE’s location info includes the NCGI of the UE’s cell and the TAC broadcast by this cell. In present networks, the cell’s NCGI and TAC are configured via OAM. For mobile IAB, such OAM-based configuration would imply that NCGI and TAC remain the same while the IAB-node </w:t>
      </w:r>
      <w:r w:rsidR="00FC5693">
        <w:t>moves</w:t>
      </w:r>
      <w:r>
        <w:t xml:space="preserve"> across the network. </w:t>
      </w:r>
    </w:p>
    <w:p w14:paraId="79981251" w14:textId="77777777" w:rsidR="00151AD8" w:rsidRDefault="00151AD8" w:rsidP="00FB2598">
      <w:pPr>
        <w:rPr>
          <w:u w:val="single"/>
        </w:rPr>
      </w:pPr>
    </w:p>
    <w:p w14:paraId="26C9A7B9" w14:textId="032D3D5F" w:rsidR="00FC5693" w:rsidRPr="00286C37" w:rsidRDefault="00286C37" w:rsidP="00FB2598">
      <w:pPr>
        <w:rPr>
          <w:u w:val="single"/>
        </w:rPr>
      </w:pPr>
      <w:r w:rsidRPr="00286C37">
        <w:rPr>
          <w:u w:val="single"/>
        </w:rPr>
        <w:t>Issue: Partial migration</w:t>
      </w:r>
    </w:p>
    <w:p w14:paraId="61565A79" w14:textId="53848477" w:rsidR="007C3795" w:rsidRDefault="007C3795" w:rsidP="00FB2598">
      <w:r>
        <w:t xml:space="preserve">During the IAB-node’s </w:t>
      </w:r>
      <w:r w:rsidRPr="00286C37">
        <w:t>partial migration</w:t>
      </w:r>
      <w:r>
        <w:t>, the IAB-DU’s NCGI will not change. Also, the TAC broadcast by the mobile IAB-DU’s cell need not change. This implies that location services that infer the UE’s geographical location from the UE’s location info may</w:t>
      </w:r>
      <w:r w:rsidR="00286C37">
        <w:t xml:space="preserve"> be </w:t>
      </w:r>
      <w:r>
        <w:t xml:space="preserve">fooled to believe that the UE has not moved. </w:t>
      </w:r>
      <w:r w:rsidR="004E3487">
        <w:t>This problem may become worse when a sequence of partial migrations is applied.</w:t>
      </w:r>
    </w:p>
    <w:p w14:paraId="557CD6EA" w14:textId="711DD838" w:rsidR="00D03B68" w:rsidRPr="00D03B68" w:rsidRDefault="00D03B68" w:rsidP="00FB2598">
      <w:pPr>
        <w:rPr>
          <w:b/>
          <w:bCs/>
        </w:rPr>
      </w:pPr>
      <w:r w:rsidRPr="00D03B68">
        <w:rPr>
          <w:b/>
          <w:bCs/>
        </w:rPr>
        <w:t>Observation 3: After partial migration, the NCGI and TAC broadcast by the mobile IAB-DU’s cell may not represent the UE’s geographical location.</w:t>
      </w:r>
    </w:p>
    <w:p w14:paraId="4D61793B" w14:textId="76C715D9" w:rsidR="00FC5693" w:rsidRPr="00FC5693" w:rsidRDefault="00FC5693" w:rsidP="00FB2598">
      <w:pPr>
        <w:rPr>
          <w:b/>
          <w:bCs/>
        </w:rPr>
      </w:pPr>
      <w:r w:rsidRPr="00FC5693">
        <w:rPr>
          <w:b/>
          <w:bCs/>
        </w:rPr>
        <w:t>Proposal</w:t>
      </w:r>
      <w:r>
        <w:rPr>
          <w:b/>
          <w:bCs/>
        </w:rPr>
        <w:t xml:space="preserve"> 4-1</w:t>
      </w:r>
      <w:r w:rsidRPr="00FC5693">
        <w:rPr>
          <w:b/>
          <w:bCs/>
        </w:rPr>
        <w:t xml:space="preserve">: RAN3 to </w:t>
      </w:r>
      <w:r>
        <w:rPr>
          <w:b/>
          <w:bCs/>
        </w:rPr>
        <w:t>ask</w:t>
      </w:r>
      <w:r w:rsidRPr="00FC5693">
        <w:rPr>
          <w:b/>
          <w:bCs/>
        </w:rPr>
        <w:t xml:space="preserve"> SA2 </w:t>
      </w:r>
      <w:r w:rsidR="00286C37">
        <w:rPr>
          <w:b/>
          <w:bCs/>
        </w:rPr>
        <w:t xml:space="preserve">about concerns in case the UE’s </w:t>
      </w:r>
      <w:r>
        <w:rPr>
          <w:b/>
          <w:bCs/>
        </w:rPr>
        <w:t xml:space="preserve">location information </w:t>
      </w:r>
      <w:r w:rsidR="00286C37">
        <w:rPr>
          <w:b/>
          <w:bCs/>
        </w:rPr>
        <w:t xml:space="preserve">does not </w:t>
      </w:r>
      <w:r>
        <w:rPr>
          <w:b/>
          <w:bCs/>
        </w:rPr>
        <w:t>match its actual geographical location</w:t>
      </w:r>
      <w:r w:rsidR="00286C37">
        <w:rPr>
          <w:b/>
          <w:bCs/>
        </w:rPr>
        <w:t xml:space="preserve"> as it may occur during partial migration</w:t>
      </w:r>
      <w:r>
        <w:rPr>
          <w:b/>
          <w:bCs/>
        </w:rPr>
        <w:t xml:space="preserve">. </w:t>
      </w:r>
    </w:p>
    <w:p w14:paraId="07A54325" w14:textId="5518C7C8" w:rsidR="00FC5693" w:rsidRDefault="00FC5693" w:rsidP="00FB2598"/>
    <w:p w14:paraId="67C0D3C0" w14:textId="1F197232" w:rsidR="00286C37" w:rsidRPr="00286C37" w:rsidRDefault="00286C37" w:rsidP="00286C37">
      <w:pPr>
        <w:rPr>
          <w:u w:val="single"/>
        </w:rPr>
      </w:pPr>
      <w:r w:rsidRPr="00286C37">
        <w:rPr>
          <w:u w:val="single"/>
        </w:rPr>
        <w:t xml:space="preserve">Issue: </w:t>
      </w:r>
      <w:r>
        <w:rPr>
          <w:u w:val="single"/>
        </w:rPr>
        <w:t>DU migration and full</w:t>
      </w:r>
      <w:r w:rsidRPr="00286C37">
        <w:rPr>
          <w:u w:val="single"/>
        </w:rPr>
        <w:t xml:space="preserve"> migration</w:t>
      </w:r>
    </w:p>
    <w:p w14:paraId="0A8703D6" w14:textId="0D08049A" w:rsidR="00FD69F4" w:rsidRDefault="00FB2598" w:rsidP="00FB2598">
      <w:r>
        <w:t>During</w:t>
      </w:r>
      <w:r w:rsidR="00FD69F4">
        <w:t xml:space="preserve"> the IAB-node’s </w:t>
      </w:r>
      <w:r w:rsidR="00FD69F4" w:rsidRPr="00286C37">
        <w:t>DU migration</w:t>
      </w:r>
      <w:r>
        <w:t xml:space="preserve">, the IAB-node’s NCGI needs to change since it includes the </w:t>
      </w:r>
      <w:proofErr w:type="spellStart"/>
      <w:r>
        <w:t>gNB</w:t>
      </w:r>
      <w:proofErr w:type="spellEnd"/>
      <w:r>
        <w:t xml:space="preserve">-CU ID. </w:t>
      </w:r>
    </w:p>
    <w:p w14:paraId="005690F5" w14:textId="388CFE3C" w:rsidR="00FD69F4" w:rsidRPr="00D03B68" w:rsidRDefault="00FC5693" w:rsidP="00FD69F4">
      <w:pPr>
        <w:rPr>
          <w:b/>
          <w:bCs/>
        </w:rPr>
      </w:pPr>
      <w:r>
        <w:rPr>
          <w:b/>
          <w:bCs/>
        </w:rPr>
        <w:t>Proposal</w:t>
      </w:r>
      <w:r w:rsidR="00FD69F4" w:rsidRPr="00D03B68">
        <w:rPr>
          <w:b/>
          <w:bCs/>
        </w:rPr>
        <w:t xml:space="preserve"> </w:t>
      </w:r>
      <w:r w:rsidR="00FD69F4">
        <w:rPr>
          <w:b/>
          <w:bCs/>
        </w:rPr>
        <w:t>4</w:t>
      </w:r>
      <w:r>
        <w:rPr>
          <w:b/>
          <w:bCs/>
        </w:rPr>
        <w:t>-2</w:t>
      </w:r>
      <w:r w:rsidR="00FD69F4" w:rsidRPr="00D03B68">
        <w:rPr>
          <w:b/>
          <w:bCs/>
        </w:rPr>
        <w:t xml:space="preserve">: </w:t>
      </w:r>
      <w:r w:rsidR="00FD69F4">
        <w:rPr>
          <w:b/>
          <w:bCs/>
        </w:rPr>
        <w:t>During mobile IAB-DU migration</w:t>
      </w:r>
      <w:r w:rsidR="00FD69F4" w:rsidRPr="00D03B68">
        <w:rPr>
          <w:b/>
          <w:bCs/>
        </w:rPr>
        <w:t xml:space="preserve">, the NCGI </w:t>
      </w:r>
      <w:r w:rsidR="00FD69F4">
        <w:rPr>
          <w:b/>
          <w:bCs/>
        </w:rPr>
        <w:t xml:space="preserve">needs to </w:t>
      </w:r>
      <w:r w:rsidR="00F901C5">
        <w:rPr>
          <w:b/>
          <w:bCs/>
        </w:rPr>
        <w:t>reflect the identifier of the target donor CU</w:t>
      </w:r>
      <w:r w:rsidR="00FD69F4" w:rsidRPr="00D03B68">
        <w:rPr>
          <w:b/>
          <w:bCs/>
        </w:rPr>
        <w:t>.</w:t>
      </w:r>
    </w:p>
    <w:p w14:paraId="5F913FB7" w14:textId="78AAEB5A" w:rsidR="00D03B68" w:rsidRDefault="00D03B68" w:rsidP="00FB2598">
      <w:r>
        <w:t>For the TAC broadcast by this cell two options can be considered:</w:t>
      </w:r>
    </w:p>
    <w:p w14:paraId="0D3CB9E9" w14:textId="7DE8A8B4" w:rsidR="00D03B68" w:rsidRPr="00840BC0" w:rsidRDefault="00D03B68" w:rsidP="00FB2598">
      <w:r w:rsidRPr="00D03B68">
        <w:rPr>
          <w:b/>
          <w:bCs/>
        </w:rPr>
        <w:t xml:space="preserve">Option 1: </w:t>
      </w:r>
      <w:r w:rsidRPr="00840BC0">
        <w:t xml:space="preserve">The TAC broadcast by the mobile IAB-DU </w:t>
      </w:r>
      <w:r w:rsidR="00FD69F4" w:rsidRPr="00840BC0">
        <w:t>changes with the</w:t>
      </w:r>
      <w:r w:rsidRPr="00840BC0">
        <w:t xml:space="preserve"> TA of the surrounding network.</w:t>
      </w:r>
    </w:p>
    <w:p w14:paraId="04E7F86A" w14:textId="6DE4F675" w:rsidR="00D03B68" w:rsidRPr="00D03B68" w:rsidRDefault="00D03B68" w:rsidP="00D03B68">
      <w:pPr>
        <w:ind w:left="432"/>
      </w:pPr>
      <w:r w:rsidRPr="00D03B68">
        <w:t xml:space="preserve">This implies that the TAC </w:t>
      </w:r>
      <w:r w:rsidR="00FD69F4">
        <w:t>broadcast by</w:t>
      </w:r>
      <w:r>
        <w:t xml:space="preserve"> the mobile IAB-DU is aligned with the TA of the surrounding network. </w:t>
      </w:r>
      <w:r w:rsidR="00840BC0">
        <w:t>It further implies that</w:t>
      </w:r>
      <w:r>
        <w:t xml:space="preserve"> the TAC value </w:t>
      </w:r>
      <w:r w:rsidRPr="00D03B68">
        <w:t xml:space="preserve">needs to be </w:t>
      </w:r>
      <w:r>
        <w:t xml:space="preserve">dynamically </w:t>
      </w:r>
      <w:r w:rsidRPr="00D03B68">
        <w:t>reconfigur</w:t>
      </w:r>
      <w:r>
        <w:t>able.</w:t>
      </w:r>
      <w:r w:rsidR="00ED0A76">
        <w:t xml:space="preserve"> During TAC reconfiguration, all RRC </w:t>
      </w:r>
      <w:r w:rsidR="00ED0A76">
        <w:lastRenderedPageBreak/>
        <w:t xml:space="preserve">idle, inactive and connected UEs need to perform a location update. This approach is therefore preferable for IAB-nodes that have few UEs connected or camping on. </w:t>
      </w:r>
    </w:p>
    <w:p w14:paraId="3B1C09CD" w14:textId="429B6F41" w:rsidR="00D03B68" w:rsidRPr="00840BC0" w:rsidRDefault="00D03B68" w:rsidP="00FB2598">
      <w:r w:rsidRPr="00D03B68">
        <w:rPr>
          <w:b/>
          <w:bCs/>
        </w:rPr>
        <w:t xml:space="preserve">Option 2: </w:t>
      </w:r>
      <w:r w:rsidRPr="00840BC0">
        <w:t xml:space="preserve">The TAC broadcast by the mobile IAB-DU </w:t>
      </w:r>
      <w:r w:rsidR="00FD69F4" w:rsidRPr="00840BC0">
        <w:t>does not change with the TA of the surrounding network</w:t>
      </w:r>
      <w:r w:rsidRPr="00840BC0">
        <w:t>.</w:t>
      </w:r>
    </w:p>
    <w:p w14:paraId="7E76D53A" w14:textId="741524BF" w:rsidR="00FB2598" w:rsidRPr="00D03B68" w:rsidRDefault="00D03B68" w:rsidP="00D03B68">
      <w:pPr>
        <w:ind w:left="432"/>
      </w:pPr>
      <w:r w:rsidRPr="00D03B68">
        <w:t xml:space="preserve">This implies that the TAC can still be OAM configured. </w:t>
      </w:r>
      <w:r>
        <w:t xml:space="preserve">However, the TAC </w:t>
      </w:r>
      <w:r w:rsidR="00FD69F4">
        <w:t>broadcast by the mobile IAB-DU may not be aligned with the TA of the surrounding network.</w:t>
      </w:r>
      <w:r w:rsidR="00ED0A76">
        <w:t xml:space="preserve"> Since location update is not necessary, this approach is preferable for IAB-nodes that have many UEs connected or camping on.</w:t>
      </w:r>
    </w:p>
    <w:p w14:paraId="7CC5C495" w14:textId="57D5B677" w:rsidR="00ED0A76" w:rsidRPr="00D03B68" w:rsidRDefault="00FC5693" w:rsidP="00ED0A76">
      <w:pPr>
        <w:rPr>
          <w:b/>
          <w:bCs/>
        </w:rPr>
      </w:pPr>
      <w:r>
        <w:rPr>
          <w:b/>
          <w:bCs/>
        </w:rPr>
        <w:t>Proposal 4-</w:t>
      </w:r>
      <w:r w:rsidR="00840BC0">
        <w:rPr>
          <w:b/>
          <w:bCs/>
        </w:rPr>
        <w:t>3</w:t>
      </w:r>
      <w:r w:rsidR="00ED0A76" w:rsidRPr="00D03B68">
        <w:rPr>
          <w:b/>
          <w:bCs/>
        </w:rPr>
        <w:t xml:space="preserve">: </w:t>
      </w:r>
      <w:r w:rsidR="00ED0A76">
        <w:rPr>
          <w:b/>
          <w:bCs/>
        </w:rPr>
        <w:t>During mobile IAB-DU migration</w:t>
      </w:r>
      <w:r w:rsidR="00ED0A76" w:rsidRPr="00D03B68">
        <w:rPr>
          <w:b/>
          <w:bCs/>
        </w:rPr>
        <w:t xml:space="preserve">, </w:t>
      </w:r>
      <w:r>
        <w:rPr>
          <w:b/>
          <w:bCs/>
        </w:rPr>
        <w:t>RAN3 to discuss support for TAC following the outside network vs. TAC remaining unchanged.</w:t>
      </w:r>
    </w:p>
    <w:p w14:paraId="6407FB51" w14:textId="21414C43" w:rsidR="007C3795" w:rsidRDefault="007C3795" w:rsidP="00FB2598"/>
    <w:p w14:paraId="23DA704C" w14:textId="4D63F106" w:rsidR="0096408F" w:rsidRDefault="0096408F" w:rsidP="0096408F">
      <w:pPr>
        <w:pStyle w:val="Heading1"/>
      </w:pPr>
      <w:r>
        <w:t>Conclusion</w:t>
      </w:r>
    </w:p>
    <w:p w14:paraId="4B36BE02" w14:textId="1CD6FB62" w:rsidR="0096408F" w:rsidRPr="0096408F" w:rsidRDefault="002E54D4" w:rsidP="0096408F">
      <w:pPr>
        <w:spacing w:after="0"/>
      </w:pPr>
      <w:r>
        <w:t>This contribution discusse</w:t>
      </w:r>
      <w:r w:rsidR="00C26446">
        <w:t>d</w:t>
      </w:r>
      <w:r>
        <w:t xml:space="preserve"> </w:t>
      </w:r>
      <w:r w:rsidR="00C26446">
        <w:t>various aspects related to the mobile of the IAB-node and its served UEs</w:t>
      </w:r>
      <w:r>
        <w:t>.</w:t>
      </w:r>
      <w:r w:rsidR="00561CD2">
        <w:t xml:space="preserve"> </w:t>
      </w:r>
      <w:r w:rsidR="0096408F">
        <w:t xml:space="preserve">The following </w:t>
      </w:r>
      <w:r w:rsidR="00561CD2">
        <w:t xml:space="preserve">observations and </w:t>
      </w:r>
      <w:r w:rsidR="0096408F">
        <w:t>proposals have been made:</w:t>
      </w:r>
    </w:p>
    <w:p w14:paraId="250BD53F" w14:textId="0F475B0E" w:rsidR="0096408F" w:rsidRDefault="0096408F" w:rsidP="0096408F">
      <w:pPr>
        <w:spacing w:after="0"/>
      </w:pPr>
    </w:p>
    <w:p w14:paraId="3531CE25" w14:textId="77777777" w:rsidR="00D73896" w:rsidRPr="005A5C04" w:rsidRDefault="00D73896" w:rsidP="00D73896">
      <w:pPr>
        <w:rPr>
          <w:b/>
          <w:bCs/>
        </w:rPr>
      </w:pPr>
      <w:r w:rsidRPr="005A5C04">
        <w:rPr>
          <w:b/>
          <w:bCs/>
        </w:rPr>
        <w:t xml:space="preserve">Observation 1: </w:t>
      </w:r>
      <w:r>
        <w:rPr>
          <w:b/>
          <w:bCs/>
        </w:rPr>
        <w:t>K</w:t>
      </w:r>
      <w:r w:rsidRPr="005A5C04">
        <w:rPr>
          <w:b/>
          <w:bCs/>
        </w:rPr>
        <w:t>nowledge of the UE’s onboard status may have benefits for implementation-based handover decisions.</w:t>
      </w:r>
    </w:p>
    <w:p w14:paraId="448E53E8" w14:textId="77777777" w:rsidR="00541123" w:rsidRDefault="00541123" w:rsidP="00541123">
      <w:pPr>
        <w:rPr>
          <w:b/>
          <w:bCs/>
        </w:rPr>
      </w:pPr>
      <w:r>
        <w:rPr>
          <w:b/>
          <w:bCs/>
        </w:rPr>
        <w:t xml:space="preserve">Observation 2: The mobile IAB-node may assist the network to identify the UE’s onboard status by indicating for each cell if it aims to serve onboard UEs. </w:t>
      </w:r>
    </w:p>
    <w:p w14:paraId="35F666EB" w14:textId="77777777" w:rsidR="00D73896" w:rsidRPr="00D03B68" w:rsidRDefault="00D73896" w:rsidP="00D73896">
      <w:pPr>
        <w:rPr>
          <w:b/>
          <w:bCs/>
        </w:rPr>
      </w:pPr>
      <w:r w:rsidRPr="00D03B68">
        <w:rPr>
          <w:b/>
          <w:bCs/>
        </w:rPr>
        <w:t>Observation 3: After partial migration, the NCGI and TAC broadcast by the mobile IAB-DU’s cell may not represent the UE’s geographical location.</w:t>
      </w:r>
    </w:p>
    <w:p w14:paraId="292F2A61" w14:textId="77777777" w:rsidR="00D73896" w:rsidRDefault="00D73896" w:rsidP="00D73896">
      <w:pPr>
        <w:rPr>
          <w:b/>
          <w:bCs/>
        </w:rPr>
      </w:pPr>
    </w:p>
    <w:p w14:paraId="346A5033" w14:textId="63435560" w:rsidR="00D73896" w:rsidRPr="001F5368" w:rsidRDefault="00D73896" w:rsidP="00D73896">
      <w:pPr>
        <w:rPr>
          <w:b/>
          <w:bCs/>
        </w:rPr>
      </w:pPr>
      <w:r w:rsidRPr="001F5368">
        <w:rPr>
          <w:b/>
          <w:bCs/>
        </w:rPr>
        <w:t xml:space="preserve">Proposal 1: Bundling of information related to multiple UE contexts in a single message to be considered as an optimization after the baseline procedures have been </w:t>
      </w:r>
      <w:r>
        <w:rPr>
          <w:b/>
          <w:bCs/>
        </w:rPr>
        <w:t xml:space="preserve">sufficiently well </w:t>
      </w:r>
      <w:r w:rsidRPr="001F5368">
        <w:rPr>
          <w:b/>
          <w:bCs/>
        </w:rPr>
        <w:t>defined.</w:t>
      </w:r>
    </w:p>
    <w:p w14:paraId="684B0FF9" w14:textId="77777777" w:rsidR="00D73896" w:rsidRPr="00FB2598" w:rsidRDefault="00D73896" w:rsidP="00D73896">
      <w:pPr>
        <w:rPr>
          <w:b/>
          <w:bCs/>
        </w:rPr>
      </w:pPr>
      <w:r w:rsidRPr="00FB2598">
        <w:rPr>
          <w:b/>
          <w:bCs/>
        </w:rPr>
        <w:t xml:space="preserve">Proposal 2-1:  The mobile-IAB </w:t>
      </w:r>
      <w:r>
        <w:rPr>
          <w:b/>
          <w:bCs/>
        </w:rPr>
        <w:t xml:space="preserve">status </w:t>
      </w:r>
      <w:r w:rsidRPr="00FB2598">
        <w:rPr>
          <w:b/>
          <w:bCs/>
        </w:rPr>
        <w:t>indication to be sent by the mobile IAB-MT to the CU.</w:t>
      </w:r>
    </w:p>
    <w:p w14:paraId="22B0C41C" w14:textId="77777777" w:rsidR="00D73896" w:rsidRPr="00FB2598" w:rsidRDefault="00D73896" w:rsidP="00D73896">
      <w:pPr>
        <w:rPr>
          <w:b/>
          <w:bCs/>
        </w:rPr>
      </w:pPr>
      <w:r w:rsidRPr="00FB2598">
        <w:rPr>
          <w:b/>
          <w:bCs/>
        </w:rPr>
        <w:t xml:space="preserve">Proposal 2-2: The mobile-IAB </w:t>
      </w:r>
      <w:r>
        <w:rPr>
          <w:b/>
          <w:bCs/>
        </w:rPr>
        <w:t xml:space="preserve">status </w:t>
      </w:r>
      <w:r w:rsidRPr="00FB2598">
        <w:rPr>
          <w:b/>
          <w:bCs/>
        </w:rPr>
        <w:t>indication to be forwarded in the IAB-MT’s handover request to the target CU.</w:t>
      </w:r>
    </w:p>
    <w:p w14:paraId="095768E1" w14:textId="77777777" w:rsidR="00D73896" w:rsidRDefault="00D73896" w:rsidP="00D73896">
      <w:pPr>
        <w:rPr>
          <w:b/>
          <w:bCs/>
        </w:rPr>
      </w:pPr>
      <w:r>
        <w:rPr>
          <w:b/>
          <w:bCs/>
        </w:rPr>
        <w:t>Proposal 3: The mobile IAB-DU to report to the network for each cell if it aims to serve onboard UEs.</w:t>
      </w:r>
    </w:p>
    <w:p w14:paraId="40AE7B63" w14:textId="77777777" w:rsidR="00D73896" w:rsidRPr="00FC5693" w:rsidRDefault="00D73896" w:rsidP="00D73896">
      <w:pPr>
        <w:rPr>
          <w:b/>
          <w:bCs/>
        </w:rPr>
      </w:pPr>
      <w:r w:rsidRPr="00FC5693">
        <w:rPr>
          <w:b/>
          <w:bCs/>
        </w:rPr>
        <w:t>Proposal</w:t>
      </w:r>
      <w:r>
        <w:rPr>
          <w:b/>
          <w:bCs/>
        </w:rPr>
        <w:t xml:space="preserve"> 4-1</w:t>
      </w:r>
      <w:r w:rsidRPr="00FC5693">
        <w:rPr>
          <w:b/>
          <w:bCs/>
        </w:rPr>
        <w:t xml:space="preserve">: RAN3 to </w:t>
      </w:r>
      <w:r>
        <w:rPr>
          <w:b/>
          <w:bCs/>
        </w:rPr>
        <w:t>ask</w:t>
      </w:r>
      <w:r w:rsidRPr="00FC5693">
        <w:rPr>
          <w:b/>
          <w:bCs/>
        </w:rPr>
        <w:t xml:space="preserve"> SA2 </w:t>
      </w:r>
      <w:r>
        <w:rPr>
          <w:b/>
          <w:bCs/>
        </w:rPr>
        <w:t xml:space="preserve">about concerns in case the UE’s location information does not match its actual geographical location as it may occur during partial migration. </w:t>
      </w:r>
    </w:p>
    <w:p w14:paraId="0E191AF9" w14:textId="77777777" w:rsidR="00D73896" w:rsidRPr="00D03B68" w:rsidRDefault="00D73896" w:rsidP="00D73896">
      <w:pPr>
        <w:rPr>
          <w:b/>
          <w:bCs/>
        </w:rPr>
      </w:pPr>
      <w:r>
        <w:rPr>
          <w:b/>
          <w:bCs/>
        </w:rPr>
        <w:t>Proposal</w:t>
      </w:r>
      <w:r w:rsidRPr="00D03B68">
        <w:rPr>
          <w:b/>
          <w:bCs/>
        </w:rPr>
        <w:t xml:space="preserve"> </w:t>
      </w:r>
      <w:r>
        <w:rPr>
          <w:b/>
          <w:bCs/>
        </w:rPr>
        <w:t>4-2</w:t>
      </w:r>
      <w:r w:rsidRPr="00D03B68">
        <w:rPr>
          <w:b/>
          <w:bCs/>
        </w:rPr>
        <w:t xml:space="preserve">: </w:t>
      </w:r>
      <w:r>
        <w:rPr>
          <w:b/>
          <w:bCs/>
        </w:rPr>
        <w:t>During mobile IAB-DU migration</w:t>
      </w:r>
      <w:r w:rsidRPr="00D03B68">
        <w:rPr>
          <w:b/>
          <w:bCs/>
        </w:rPr>
        <w:t xml:space="preserve">, the NCGI </w:t>
      </w:r>
      <w:r>
        <w:rPr>
          <w:b/>
          <w:bCs/>
        </w:rPr>
        <w:t>needs to reflect the identifier of the target donor CU</w:t>
      </w:r>
      <w:r w:rsidRPr="00D03B68">
        <w:rPr>
          <w:b/>
          <w:bCs/>
        </w:rPr>
        <w:t>.</w:t>
      </w:r>
    </w:p>
    <w:p w14:paraId="000A581F" w14:textId="77777777" w:rsidR="00D73896" w:rsidRPr="00D03B68" w:rsidRDefault="00D73896" w:rsidP="00D73896">
      <w:pPr>
        <w:rPr>
          <w:b/>
          <w:bCs/>
        </w:rPr>
      </w:pPr>
      <w:r>
        <w:rPr>
          <w:b/>
          <w:bCs/>
        </w:rPr>
        <w:t>Proposal 4-3</w:t>
      </w:r>
      <w:r w:rsidRPr="00D03B68">
        <w:rPr>
          <w:b/>
          <w:bCs/>
        </w:rPr>
        <w:t xml:space="preserve">: </w:t>
      </w:r>
      <w:r>
        <w:rPr>
          <w:b/>
          <w:bCs/>
        </w:rPr>
        <w:t>During mobile IAB-DU migration</w:t>
      </w:r>
      <w:r w:rsidRPr="00D03B68">
        <w:rPr>
          <w:b/>
          <w:bCs/>
        </w:rPr>
        <w:t xml:space="preserve">, </w:t>
      </w:r>
      <w:r>
        <w:rPr>
          <w:b/>
          <w:bCs/>
        </w:rPr>
        <w:t>RAN3 to discuss support for TAC following the outside network vs. TAC remaining unchanged.</w:t>
      </w:r>
    </w:p>
    <w:p w14:paraId="7F9A5B2E" w14:textId="77777777" w:rsidR="00CD4C7B" w:rsidRPr="00320A6B" w:rsidRDefault="00CD4C7B" w:rsidP="00CD4C7B">
      <w:pPr>
        <w:pStyle w:val="Heading1"/>
      </w:pPr>
      <w:r w:rsidRPr="00320A6B">
        <w:t>References</w:t>
      </w:r>
    </w:p>
    <w:p w14:paraId="7E774A94" w14:textId="77777777" w:rsidR="00AB5117" w:rsidRDefault="00AB5117" w:rsidP="00AB5117">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OLE_LINK52"/>
      <w:bookmarkStart w:id="2" w:name="OLE_LINK51"/>
      <w:bookmarkStart w:id="3" w:name="OLE_LINK50"/>
      <w:bookmarkStart w:id="4" w:name="_Ref490247806"/>
      <w:r>
        <w:rPr>
          <w:lang w:eastAsia="zh-CN"/>
        </w:rPr>
        <w:t xml:space="preserve">Chairman notes, </w:t>
      </w:r>
      <w:r w:rsidRPr="00213E7A">
        <w:rPr>
          <w:lang w:val="en-US" w:eastAsia="zh-CN"/>
        </w:rPr>
        <w:t>TSG-RAN WG3</w:t>
      </w:r>
      <w:bookmarkEnd w:id="1"/>
      <w:bookmarkEnd w:id="2"/>
      <w:bookmarkEnd w:id="3"/>
      <w:r w:rsidRPr="00213E7A">
        <w:rPr>
          <w:lang w:val="en-US" w:eastAsia="zh-CN"/>
        </w:rPr>
        <w:t xml:space="preserve"> Meeting #11</w:t>
      </w:r>
      <w:r>
        <w:rPr>
          <w:lang w:val="en-US" w:eastAsia="zh-CN"/>
        </w:rPr>
        <w:t>7</w:t>
      </w:r>
      <w:r w:rsidRPr="00213E7A">
        <w:rPr>
          <w:lang w:val="en-US" w:eastAsia="zh-CN"/>
        </w:rPr>
        <w:t xml:space="preserve">-e, E-meeting, </w:t>
      </w:r>
      <w:r>
        <w:rPr>
          <w:lang w:val="en-US" w:eastAsia="zh-CN"/>
        </w:rPr>
        <w:t>August</w:t>
      </w:r>
      <w:r w:rsidRPr="00213E7A">
        <w:rPr>
          <w:lang w:val="en-US" w:eastAsia="zh-CN"/>
        </w:rPr>
        <w:t xml:space="preserve"> 202</w:t>
      </w:r>
      <w:r>
        <w:rPr>
          <w:lang w:val="en-US" w:eastAsia="zh-CN"/>
        </w:rPr>
        <w:t>2</w:t>
      </w:r>
      <w:r w:rsidRPr="00213E7A">
        <w:rPr>
          <w:lang w:val="en-US" w:eastAsia="zh-CN"/>
        </w:rPr>
        <w:t xml:space="preserve">.                                                                        </w:t>
      </w:r>
    </w:p>
    <w:bookmarkEnd w:id="4"/>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sectPr w:rsidR="00FB11CA" w:rsidRPr="00FB11C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B6E10" w14:textId="77777777" w:rsidR="00DD5C4C" w:rsidRDefault="00DD5C4C">
      <w:r>
        <w:separator/>
      </w:r>
    </w:p>
  </w:endnote>
  <w:endnote w:type="continuationSeparator" w:id="0">
    <w:p w14:paraId="3BA78DA6" w14:textId="77777777" w:rsidR="00DD5C4C" w:rsidRDefault="00DD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D2E6" w14:textId="77777777" w:rsidR="00DD5C4C" w:rsidRDefault="00DD5C4C">
      <w:r>
        <w:separator/>
      </w:r>
    </w:p>
  </w:footnote>
  <w:footnote w:type="continuationSeparator" w:id="0">
    <w:p w14:paraId="3223A9D9" w14:textId="77777777" w:rsidR="00DD5C4C" w:rsidRDefault="00DD5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D51B2"/>
    <w:multiLevelType w:val="hybridMultilevel"/>
    <w:tmpl w:val="F8C8D8C8"/>
    <w:lvl w:ilvl="0" w:tplc="286AE59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A3064"/>
    <w:multiLevelType w:val="hybridMultilevel"/>
    <w:tmpl w:val="2C8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A56A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277C3C"/>
    <w:multiLevelType w:val="hybridMultilevel"/>
    <w:tmpl w:val="96244798"/>
    <w:lvl w:ilvl="0" w:tplc="F8E8A0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18"/>
  </w:num>
  <w:num w:numId="4">
    <w:abstractNumId w:val="8"/>
  </w:num>
  <w:num w:numId="5">
    <w:abstractNumId w:val="0"/>
  </w:num>
  <w:num w:numId="6">
    <w:abstractNumId w:val="20"/>
  </w:num>
  <w:num w:numId="7">
    <w:abstractNumId w:val="17"/>
  </w:num>
  <w:num w:numId="8">
    <w:abstractNumId w:val="29"/>
  </w:num>
  <w:num w:numId="9">
    <w:abstractNumId w:val="13"/>
  </w:num>
  <w:num w:numId="10">
    <w:abstractNumId w:val="24"/>
  </w:num>
  <w:num w:numId="11">
    <w:abstractNumId w:val="25"/>
  </w:num>
  <w:num w:numId="12">
    <w:abstractNumId w:val="3"/>
  </w:num>
  <w:num w:numId="13">
    <w:abstractNumId w:val="16"/>
  </w:num>
  <w:num w:numId="14">
    <w:abstractNumId w:val="14"/>
  </w:num>
  <w:num w:numId="15">
    <w:abstractNumId w:val="21"/>
  </w:num>
  <w:num w:numId="16">
    <w:abstractNumId w:val="11"/>
  </w:num>
  <w:num w:numId="17">
    <w:abstractNumId w:val="15"/>
  </w:num>
  <w:num w:numId="18">
    <w:abstractNumId w:val="19"/>
  </w:num>
  <w:num w:numId="19">
    <w:abstractNumId w:val="27"/>
  </w:num>
  <w:num w:numId="20">
    <w:abstractNumId w:val="1"/>
  </w:num>
  <w:num w:numId="21">
    <w:abstractNumId w:val="2"/>
  </w:num>
  <w:num w:numId="22">
    <w:abstractNumId w:val="7"/>
  </w:num>
  <w:num w:numId="23">
    <w:abstractNumId w:val="9"/>
  </w:num>
  <w:num w:numId="24">
    <w:abstractNumId w:val="5"/>
  </w:num>
  <w:num w:numId="25">
    <w:abstractNumId w:val="10"/>
  </w:num>
  <w:num w:numId="26">
    <w:abstractNumId w:val="4"/>
  </w:num>
  <w:num w:numId="27">
    <w:abstractNumId w:val="22"/>
  </w:num>
  <w:num w:numId="28">
    <w:abstractNumId w:val="23"/>
  </w:num>
  <w:num w:numId="29">
    <w:abstractNumId w:val="26"/>
  </w:num>
  <w:num w:numId="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253"/>
    <w:rsid w:val="000064F6"/>
    <w:rsid w:val="00006EBD"/>
    <w:rsid w:val="00010161"/>
    <w:rsid w:val="00011DBF"/>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705"/>
    <w:rsid w:val="00044ED2"/>
    <w:rsid w:val="00045625"/>
    <w:rsid w:val="0004707F"/>
    <w:rsid w:val="000516D8"/>
    <w:rsid w:val="0005270E"/>
    <w:rsid w:val="00056DB2"/>
    <w:rsid w:val="0005769A"/>
    <w:rsid w:val="0006135D"/>
    <w:rsid w:val="00061505"/>
    <w:rsid w:val="00065659"/>
    <w:rsid w:val="00065D6B"/>
    <w:rsid w:val="00066096"/>
    <w:rsid w:val="00070620"/>
    <w:rsid w:val="00071167"/>
    <w:rsid w:val="000716A1"/>
    <w:rsid w:val="000732E0"/>
    <w:rsid w:val="00073EB1"/>
    <w:rsid w:val="00074261"/>
    <w:rsid w:val="0007446F"/>
    <w:rsid w:val="0007762E"/>
    <w:rsid w:val="00077C88"/>
    <w:rsid w:val="00080512"/>
    <w:rsid w:val="000812F8"/>
    <w:rsid w:val="000827C8"/>
    <w:rsid w:val="00084591"/>
    <w:rsid w:val="0008762B"/>
    <w:rsid w:val="00087E3D"/>
    <w:rsid w:val="00090401"/>
    <w:rsid w:val="00090468"/>
    <w:rsid w:val="000926D3"/>
    <w:rsid w:val="00093164"/>
    <w:rsid w:val="00096258"/>
    <w:rsid w:val="000974C9"/>
    <w:rsid w:val="0009788E"/>
    <w:rsid w:val="000A050C"/>
    <w:rsid w:val="000A3F9B"/>
    <w:rsid w:val="000A5AD5"/>
    <w:rsid w:val="000B0C46"/>
    <w:rsid w:val="000B19D0"/>
    <w:rsid w:val="000B2CBF"/>
    <w:rsid w:val="000B4D19"/>
    <w:rsid w:val="000B7BCF"/>
    <w:rsid w:val="000C0524"/>
    <w:rsid w:val="000C2CA3"/>
    <w:rsid w:val="000C2D34"/>
    <w:rsid w:val="000C415C"/>
    <w:rsid w:val="000C416C"/>
    <w:rsid w:val="000C460A"/>
    <w:rsid w:val="000C4AA7"/>
    <w:rsid w:val="000C522B"/>
    <w:rsid w:val="000C5567"/>
    <w:rsid w:val="000C5DF5"/>
    <w:rsid w:val="000C77C8"/>
    <w:rsid w:val="000C7894"/>
    <w:rsid w:val="000D0B0C"/>
    <w:rsid w:val="000D137A"/>
    <w:rsid w:val="000D30A2"/>
    <w:rsid w:val="000D3C9D"/>
    <w:rsid w:val="000D58AB"/>
    <w:rsid w:val="000D6B39"/>
    <w:rsid w:val="000E26D2"/>
    <w:rsid w:val="000E427B"/>
    <w:rsid w:val="000E49BE"/>
    <w:rsid w:val="000E5617"/>
    <w:rsid w:val="000E6697"/>
    <w:rsid w:val="000F03B7"/>
    <w:rsid w:val="000F2F84"/>
    <w:rsid w:val="000F342D"/>
    <w:rsid w:val="000F3E8C"/>
    <w:rsid w:val="000F5DDE"/>
    <w:rsid w:val="00101232"/>
    <w:rsid w:val="00101BA1"/>
    <w:rsid w:val="00102DAD"/>
    <w:rsid w:val="00104704"/>
    <w:rsid w:val="00106455"/>
    <w:rsid w:val="00107EE0"/>
    <w:rsid w:val="0011222A"/>
    <w:rsid w:val="001158B5"/>
    <w:rsid w:val="00116DE8"/>
    <w:rsid w:val="00120844"/>
    <w:rsid w:val="00120C85"/>
    <w:rsid w:val="00121FB7"/>
    <w:rsid w:val="001224F1"/>
    <w:rsid w:val="00122700"/>
    <w:rsid w:val="00123DB1"/>
    <w:rsid w:val="001241A8"/>
    <w:rsid w:val="00124B3D"/>
    <w:rsid w:val="0012527D"/>
    <w:rsid w:val="00126209"/>
    <w:rsid w:val="00126D29"/>
    <w:rsid w:val="00130949"/>
    <w:rsid w:val="00131495"/>
    <w:rsid w:val="00131A2F"/>
    <w:rsid w:val="00134105"/>
    <w:rsid w:val="0013487C"/>
    <w:rsid w:val="00135C51"/>
    <w:rsid w:val="00135EC2"/>
    <w:rsid w:val="00135FD1"/>
    <w:rsid w:val="00137B44"/>
    <w:rsid w:val="00140C86"/>
    <w:rsid w:val="0014488C"/>
    <w:rsid w:val="00145075"/>
    <w:rsid w:val="00146FB1"/>
    <w:rsid w:val="0014714F"/>
    <w:rsid w:val="0014751F"/>
    <w:rsid w:val="00147B8F"/>
    <w:rsid w:val="0015058A"/>
    <w:rsid w:val="00151AD8"/>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6A6D"/>
    <w:rsid w:val="0017733D"/>
    <w:rsid w:val="0017736D"/>
    <w:rsid w:val="00181A75"/>
    <w:rsid w:val="001822E5"/>
    <w:rsid w:val="00182DE1"/>
    <w:rsid w:val="00183165"/>
    <w:rsid w:val="001833C6"/>
    <w:rsid w:val="00183953"/>
    <w:rsid w:val="00185B31"/>
    <w:rsid w:val="00186DE6"/>
    <w:rsid w:val="00190C58"/>
    <w:rsid w:val="001947B6"/>
    <w:rsid w:val="00194CC5"/>
    <w:rsid w:val="00194CD0"/>
    <w:rsid w:val="00196C23"/>
    <w:rsid w:val="0019788E"/>
    <w:rsid w:val="001A16DE"/>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C595C"/>
    <w:rsid w:val="001D34ED"/>
    <w:rsid w:val="001D379F"/>
    <w:rsid w:val="001D3A7D"/>
    <w:rsid w:val="001D3EB3"/>
    <w:rsid w:val="001D4FB0"/>
    <w:rsid w:val="001D599B"/>
    <w:rsid w:val="001D6CF3"/>
    <w:rsid w:val="001E284D"/>
    <w:rsid w:val="001E53A0"/>
    <w:rsid w:val="001E58A5"/>
    <w:rsid w:val="001E5C04"/>
    <w:rsid w:val="001E70D7"/>
    <w:rsid w:val="001F168B"/>
    <w:rsid w:val="001F1CFE"/>
    <w:rsid w:val="001F2E7F"/>
    <w:rsid w:val="001F34F3"/>
    <w:rsid w:val="001F5368"/>
    <w:rsid w:val="001F5C44"/>
    <w:rsid w:val="001F5CC4"/>
    <w:rsid w:val="001F632B"/>
    <w:rsid w:val="001F7831"/>
    <w:rsid w:val="0020111A"/>
    <w:rsid w:val="002016BF"/>
    <w:rsid w:val="00201844"/>
    <w:rsid w:val="00201B08"/>
    <w:rsid w:val="002029A9"/>
    <w:rsid w:val="00203645"/>
    <w:rsid w:val="0020370C"/>
    <w:rsid w:val="00204045"/>
    <w:rsid w:val="0020425F"/>
    <w:rsid w:val="00205A43"/>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5DDA"/>
    <w:rsid w:val="0022606D"/>
    <w:rsid w:val="00226347"/>
    <w:rsid w:val="00227DD0"/>
    <w:rsid w:val="00233196"/>
    <w:rsid w:val="002334C5"/>
    <w:rsid w:val="00233A4C"/>
    <w:rsid w:val="0023484A"/>
    <w:rsid w:val="002350D0"/>
    <w:rsid w:val="00235144"/>
    <w:rsid w:val="00242D19"/>
    <w:rsid w:val="0024485F"/>
    <w:rsid w:val="00245A51"/>
    <w:rsid w:val="00245B7D"/>
    <w:rsid w:val="00250812"/>
    <w:rsid w:val="00250B04"/>
    <w:rsid w:val="002514DD"/>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86C37"/>
    <w:rsid w:val="00290FC1"/>
    <w:rsid w:val="002923AE"/>
    <w:rsid w:val="00293031"/>
    <w:rsid w:val="002956AA"/>
    <w:rsid w:val="002966A8"/>
    <w:rsid w:val="002A00A9"/>
    <w:rsid w:val="002A09FF"/>
    <w:rsid w:val="002A1120"/>
    <w:rsid w:val="002A4AD1"/>
    <w:rsid w:val="002A4D88"/>
    <w:rsid w:val="002A717B"/>
    <w:rsid w:val="002B17AD"/>
    <w:rsid w:val="002B4AC3"/>
    <w:rsid w:val="002B69DE"/>
    <w:rsid w:val="002B7133"/>
    <w:rsid w:val="002C18E1"/>
    <w:rsid w:val="002C3919"/>
    <w:rsid w:val="002C6EDD"/>
    <w:rsid w:val="002C708A"/>
    <w:rsid w:val="002D10D9"/>
    <w:rsid w:val="002D2AB9"/>
    <w:rsid w:val="002D4340"/>
    <w:rsid w:val="002D50EB"/>
    <w:rsid w:val="002E13C5"/>
    <w:rsid w:val="002E1D57"/>
    <w:rsid w:val="002E2CD5"/>
    <w:rsid w:val="002E386F"/>
    <w:rsid w:val="002E3CCA"/>
    <w:rsid w:val="002E54D4"/>
    <w:rsid w:val="002E61FD"/>
    <w:rsid w:val="002E7B35"/>
    <w:rsid w:val="002F00B4"/>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58AF"/>
    <w:rsid w:val="00316444"/>
    <w:rsid w:val="00316792"/>
    <w:rsid w:val="003169A2"/>
    <w:rsid w:val="003172DC"/>
    <w:rsid w:val="00320A6B"/>
    <w:rsid w:val="00320E41"/>
    <w:rsid w:val="00321520"/>
    <w:rsid w:val="00322D89"/>
    <w:rsid w:val="003241D6"/>
    <w:rsid w:val="00326069"/>
    <w:rsid w:val="00326242"/>
    <w:rsid w:val="00331D99"/>
    <w:rsid w:val="00331F55"/>
    <w:rsid w:val="00335983"/>
    <w:rsid w:val="003360BD"/>
    <w:rsid w:val="00336957"/>
    <w:rsid w:val="00336CEE"/>
    <w:rsid w:val="00336E72"/>
    <w:rsid w:val="00337B1A"/>
    <w:rsid w:val="00340AC4"/>
    <w:rsid w:val="003414FC"/>
    <w:rsid w:val="003417CA"/>
    <w:rsid w:val="003424E1"/>
    <w:rsid w:val="00342EAC"/>
    <w:rsid w:val="00343C86"/>
    <w:rsid w:val="00344236"/>
    <w:rsid w:val="00344969"/>
    <w:rsid w:val="00344C13"/>
    <w:rsid w:val="00344D0C"/>
    <w:rsid w:val="003452AB"/>
    <w:rsid w:val="00346B5D"/>
    <w:rsid w:val="00346D47"/>
    <w:rsid w:val="00347001"/>
    <w:rsid w:val="003520D1"/>
    <w:rsid w:val="00353EFF"/>
    <w:rsid w:val="003543AB"/>
    <w:rsid w:val="0035462D"/>
    <w:rsid w:val="00354E1B"/>
    <w:rsid w:val="003577E7"/>
    <w:rsid w:val="003602D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0D21"/>
    <w:rsid w:val="00381FB6"/>
    <w:rsid w:val="00382A17"/>
    <w:rsid w:val="00382AC9"/>
    <w:rsid w:val="00382B15"/>
    <w:rsid w:val="003839E9"/>
    <w:rsid w:val="00383D39"/>
    <w:rsid w:val="00384E6A"/>
    <w:rsid w:val="003860EA"/>
    <w:rsid w:val="0038677D"/>
    <w:rsid w:val="00390241"/>
    <w:rsid w:val="0039145F"/>
    <w:rsid w:val="003921CE"/>
    <w:rsid w:val="00394322"/>
    <w:rsid w:val="00395806"/>
    <w:rsid w:val="00395BB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259A"/>
    <w:rsid w:val="003C4E37"/>
    <w:rsid w:val="003C6194"/>
    <w:rsid w:val="003C66DE"/>
    <w:rsid w:val="003D0659"/>
    <w:rsid w:val="003D0AEF"/>
    <w:rsid w:val="003D159B"/>
    <w:rsid w:val="003D199F"/>
    <w:rsid w:val="003D2286"/>
    <w:rsid w:val="003D2B58"/>
    <w:rsid w:val="003D2C5B"/>
    <w:rsid w:val="003D3F2A"/>
    <w:rsid w:val="003D3FB5"/>
    <w:rsid w:val="003D561D"/>
    <w:rsid w:val="003D6072"/>
    <w:rsid w:val="003D7042"/>
    <w:rsid w:val="003E16BE"/>
    <w:rsid w:val="003E1F2D"/>
    <w:rsid w:val="003E4A6A"/>
    <w:rsid w:val="003E4DDA"/>
    <w:rsid w:val="003E588D"/>
    <w:rsid w:val="003E5A3C"/>
    <w:rsid w:val="003E5BEF"/>
    <w:rsid w:val="003E6C37"/>
    <w:rsid w:val="003E6D72"/>
    <w:rsid w:val="003F037E"/>
    <w:rsid w:val="003F160A"/>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7F5"/>
    <w:rsid w:val="004269D0"/>
    <w:rsid w:val="00427019"/>
    <w:rsid w:val="004275A9"/>
    <w:rsid w:val="00430D92"/>
    <w:rsid w:val="004316D5"/>
    <w:rsid w:val="0043393F"/>
    <w:rsid w:val="00435311"/>
    <w:rsid w:val="004378F1"/>
    <w:rsid w:val="00437E0C"/>
    <w:rsid w:val="00440AA6"/>
    <w:rsid w:val="00443341"/>
    <w:rsid w:val="00446181"/>
    <w:rsid w:val="00447717"/>
    <w:rsid w:val="004477E7"/>
    <w:rsid w:val="00447946"/>
    <w:rsid w:val="0045111B"/>
    <w:rsid w:val="004522CC"/>
    <w:rsid w:val="00453473"/>
    <w:rsid w:val="0045378B"/>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2C80"/>
    <w:rsid w:val="004832C4"/>
    <w:rsid w:val="00483C1D"/>
    <w:rsid w:val="00485492"/>
    <w:rsid w:val="00485BDB"/>
    <w:rsid w:val="004864C2"/>
    <w:rsid w:val="00487C78"/>
    <w:rsid w:val="00492258"/>
    <w:rsid w:val="00492558"/>
    <w:rsid w:val="004955F3"/>
    <w:rsid w:val="0049656C"/>
    <w:rsid w:val="004972DD"/>
    <w:rsid w:val="004A0319"/>
    <w:rsid w:val="004A1927"/>
    <w:rsid w:val="004A2B72"/>
    <w:rsid w:val="004A32F3"/>
    <w:rsid w:val="004A4700"/>
    <w:rsid w:val="004A59FA"/>
    <w:rsid w:val="004A68F4"/>
    <w:rsid w:val="004B20E3"/>
    <w:rsid w:val="004B2A60"/>
    <w:rsid w:val="004B39DD"/>
    <w:rsid w:val="004B41F8"/>
    <w:rsid w:val="004B5CED"/>
    <w:rsid w:val="004B68D7"/>
    <w:rsid w:val="004B6F3C"/>
    <w:rsid w:val="004B7120"/>
    <w:rsid w:val="004C1531"/>
    <w:rsid w:val="004C1974"/>
    <w:rsid w:val="004C229D"/>
    <w:rsid w:val="004C2E68"/>
    <w:rsid w:val="004C5A95"/>
    <w:rsid w:val="004C6BCC"/>
    <w:rsid w:val="004C7E7C"/>
    <w:rsid w:val="004C7EC4"/>
    <w:rsid w:val="004D1DC6"/>
    <w:rsid w:val="004D3578"/>
    <w:rsid w:val="004D380D"/>
    <w:rsid w:val="004E0C79"/>
    <w:rsid w:val="004E213A"/>
    <w:rsid w:val="004E2917"/>
    <w:rsid w:val="004E3487"/>
    <w:rsid w:val="004E383E"/>
    <w:rsid w:val="004E48C4"/>
    <w:rsid w:val="004F0DE1"/>
    <w:rsid w:val="004F10A5"/>
    <w:rsid w:val="004F156A"/>
    <w:rsid w:val="004F258E"/>
    <w:rsid w:val="00502735"/>
    <w:rsid w:val="00502BC6"/>
    <w:rsid w:val="00503171"/>
    <w:rsid w:val="005037A0"/>
    <w:rsid w:val="00506C28"/>
    <w:rsid w:val="00511F56"/>
    <w:rsid w:val="0051299A"/>
    <w:rsid w:val="00513916"/>
    <w:rsid w:val="00516518"/>
    <w:rsid w:val="005169F2"/>
    <w:rsid w:val="0051770A"/>
    <w:rsid w:val="00522978"/>
    <w:rsid w:val="005234CD"/>
    <w:rsid w:val="00523FEE"/>
    <w:rsid w:val="00524ACC"/>
    <w:rsid w:val="00527DE0"/>
    <w:rsid w:val="0053020D"/>
    <w:rsid w:val="00532A92"/>
    <w:rsid w:val="00534DA0"/>
    <w:rsid w:val="0053506A"/>
    <w:rsid w:val="00535C9F"/>
    <w:rsid w:val="00540007"/>
    <w:rsid w:val="005409EE"/>
    <w:rsid w:val="00541123"/>
    <w:rsid w:val="00543E6C"/>
    <w:rsid w:val="00543F5F"/>
    <w:rsid w:val="00546749"/>
    <w:rsid w:val="00546CB4"/>
    <w:rsid w:val="0055050A"/>
    <w:rsid w:val="005506D7"/>
    <w:rsid w:val="005513E1"/>
    <w:rsid w:val="00551ED5"/>
    <w:rsid w:val="00551ED6"/>
    <w:rsid w:val="00551F97"/>
    <w:rsid w:val="00552D11"/>
    <w:rsid w:val="00553021"/>
    <w:rsid w:val="00553946"/>
    <w:rsid w:val="0056076A"/>
    <w:rsid w:val="00561CD2"/>
    <w:rsid w:val="0056469D"/>
    <w:rsid w:val="0056480F"/>
    <w:rsid w:val="00565087"/>
    <w:rsid w:val="0056573F"/>
    <w:rsid w:val="00566049"/>
    <w:rsid w:val="00566566"/>
    <w:rsid w:val="005702AA"/>
    <w:rsid w:val="0057072F"/>
    <w:rsid w:val="00570858"/>
    <w:rsid w:val="0057085C"/>
    <w:rsid w:val="00571FB4"/>
    <w:rsid w:val="00572EFD"/>
    <w:rsid w:val="00573003"/>
    <w:rsid w:val="00573B7D"/>
    <w:rsid w:val="00573DDF"/>
    <w:rsid w:val="005740A5"/>
    <w:rsid w:val="0057551C"/>
    <w:rsid w:val="0057656C"/>
    <w:rsid w:val="0057751A"/>
    <w:rsid w:val="00580A44"/>
    <w:rsid w:val="00580E96"/>
    <w:rsid w:val="00582CDB"/>
    <w:rsid w:val="00584EE9"/>
    <w:rsid w:val="005862E2"/>
    <w:rsid w:val="00586897"/>
    <w:rsid w:val="00586CF6"/>
    <w:rsid w:val="00587B48"/>
    <w:rsid w:val="00587FD5"/>
    <w:rsid w:val="005900CE"/>
    <w:rsid w:val="005920E6"/>
    <w:rsid w:val="00593B6E"/>
    <w:rsid w:val="005A0B84"/>
    <w:rsid w:val="005A14B6"/>
    <w:rsid w:val="005A166D"/>
    <w:rsid w:val="005A240D"/>
    <w:rsid w:val="005A5C04"/>
    <w:rsid w:val="005A6916"/>
    <w:rsid w:val="005B1DC5"/>
    <w:rsid w:val="005B249B"/>
    <w:rsid w:val="005B3C9A"/>
    <w:rsid w:val="005B464A"/>
    <w:rsid w:val="005B46AD"/>
    <w:rsid w:val="005C0207"/>
    <w:rsid w:val="005C15EC"/>
    <w:rsid w:val="005C2845"/>
    <w:rsid w:val="005C43EE"/>
    <w:rsid w:val="005C528A"/>
    <w:rsid w:val="005C5D9D"/>
    <w:rsid w:val="005C7E45"/>
    <w:rsid w:val="005D5447"/>
    <w:rsid w:val="005D661E"/>
    <w:rsid w:val="005E1A07"/>
    <w:rsid w:val="005E5D4F"/>
    <w:rsid w:val="005E6A6C"/>
    <w:rsid w:val="005F009B"/>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16AD7"/>
    <w:rsid w:val="00621140"/>
    <w:rsid w:val="006211DA"/>
    <w:rsid w:val="00621371"/>
    <w:rsid w:val="00623713"/>
    <w:rsid w:val="00623A25"/>
    <w:rsid w:val="00626696"/>
    <w:rsid w:val="0062739F"/>
    <w:rsid w:val="00631DBD"/>
    <w:rsid w:val="00632222"/>
    <w:rsid w:val="00635F47"/>
    <w:rsid w:val="00641F14"/>
    <w:rsid w:val="0064411C"/>
    <w:rsid w:val="006454FE"/>
    <w:rsid w:val="006457D8"/>
    <w:rsid w:val="00645D44"/>
    <w:rsid w:val="006465F3"/>
    <w:rsid w:val="00646D99"/>
    <w:rsid w:val="00647E8B"/>
    <w:rsid w:val="00650084"/>
    <w:rsid w:val="00651125"/>
    <w:rsid w:val="00651930"/>
    <w:rsid w:val="00651A6B"/>
    <w:rsid w:val="00652646"/>
    <w:rsid w:val="00652CF2"/>
    <w:rsid w:val="006531CD"/>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337F"/>
    <w:rsid w:val="006856CF"/>
    <w:rsid w:val="00685FF1"/>
    <w:rsid w:val="006901D6"/>
    <w:rsid w:val="0069267C"/>
    <w:rsid w:val="006926BA"/>
    <w:rsid w:val="00692FC3"/>
    <w:rsid w:val="00693373"/>
    <w:rsid w:val="00694012"/>
    <w:rsid w:val="00694D2A"/>
    <w:rsid w:val="006965CD"/>
    <w:rsid w:val="00696DF2"/>
    <w:rsid w:val="00697858"/>
    <w:rsid w:val="006A1436"/>
    <w:rsid w:val="006A180F"/>
    <w:rsid w:val="006A334F"/>
    <w:rsid w:val="006A3BF2"/>
    <w:rsid w:val="006A456D"/>
    <w:rsid w:val="006A5153"/>
    <w:rsid w:val="006A54BE"/>
    <w:rsid w:val="006A6944"/>
    <w:rsid w:val="006A6BA4"/>
    <w:rsid w:val="006B0254"/>
    <w:rsid w:val="006B4899"/>
    <w:rsid w:val="006B4D84"/>
    <w:rsid w:val="006B605E"/>
    <w:rsid w:val="006B6466"/>
    <w:rsid w:val="006B7943"/>
    <w:rsid w:val="006C372A"/>
    <w:rsid w:val="006C4CC8"/>
    <w:rsid w:val="006C6225"/>
    <w:rsid w:val="006C66D8"/>
    <w:rsid w:val="006C768F"/>
    <w:rsid w:val="006D0C80"/>
    <w:rsid w:val="006D0EC9"/>
    <w:rsid w:val="006D1E24"/>
    <w:rsid w:val="006D448F"/>
    <w:rsid w:val="006D4CB0"/>
    <w:rsid w:val="006D7BF4"/>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0ED"/>
    <w:rsid w:val="006F78E6"/>
    <w:rsid w:val="00702AAA"/>
    <w:rsid w:val="00702F97"/>
    <w:rsid w:val="00704C10"/>
    <w:rsid w:val="00705D88"/>
    <w:rsid w:val="00707E6F"/>
    <w:rsid w:val="00710201"/>
    <w:rsid w:val="0071066B"/>
    <w:rsid w:val="007118EE"/>
    <w:rsid w:val="00715050"/>
    <w:rsid w:val="00716016"/>
    <w:rsid w:val="00716280"/>
    <w:rsid w:val="0071689E"/>
    <w:rsid w:val="00717A1C"/>
    <w:rsid w:val="0072014D"/>
    <w:rsid w:val="00721FCB"/>
    <w:rsid w:val="00727896"/>
    <w:rsid w:val="00730422"/>
    <w:rsid w:val="00734A5B"/>
    <w:rsid w:val="00734CEE"/>
    <w:rsid w:val="00735E81"/>
    <w:rsid w:val="00735F8A"/>
    <w:rsid w:val="007418B7"/>
    <w:rsid w:val="00741E7A"/>
    <w:rsid w:val="00743143"/>
    <w:rsid w:val="00744E76"/>
    <w:rsid w:val="007460EF"/>
    <w:rsid w:val="00747A03"/>
    <w:rsid w:val="00747D0A"/>
    <w:rsid w:val="007504A9"/>
    <w:rsid w:val="0075199C"/>
    <w:rsid w:val="0075234C"/>
    <w:rsid w:val="0075294C"/>
    <w:rsid w:val="00752A49"/>
    <w:rsid w:val="00753591"/>
    <w:rsid w:val="007542F1"/>
    <w:rsid w:val="00757D40"/>
    <w:rsid w:val="007636D3"/>
    <w:rsid w:val="007658B7"/>
    <w:rsid w:val="007665C4"/>
    <w:rsid w:val="0076778B"/>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5580"/>
    <w:rsid w:val="0079664E"/>
    <w:rsid w:val="007A0634"/>
    <w:rsid w:val="007A2383"/>
    <w:rsid w:val="007A5735"/>
    <w:rsid w:val="007A5F63"/>
    <w:rsid w:val="007A72E5"/>
    <w:rsid w:val="007B08A6"/>
    <w:rsid w:val="007B0BD4"/>
    <w:rsid w:val="007B18D8"/>
    <w:rsid w:val="007B3472"/>
    <w:rsid w:val="007B5408"/>
    <w:rsid w:val="007B579C"/>
    <w:rsid w:val="007B5C20"/>
    <w:rsid w:val="007B7D44"/>
    <w:rsid w:val="007C095F"/>
    <w:rsid w:val="007C1897"/>
    <w:rsid w:val="007C2012"/>
    <w:rsid w:val="007C2977"/>
    <w:rsid w:val="007C3795"/>
    <w:rsid w:val="007C67D2"/>
    <w:rsid w:val="007C77C4"/>
    <w:rsid w:val="007D107C"/>
    <w:rsid w:val="007D1FD5"/>
    <w:rsid w:val="007D309E"/>
    <w:rsid w:val="007D4B38"/>
    <w:rsid w:val="007D5BED"/>
    <w:rsid w:val="007D5EF6"/>
    <w:rsid w:val="007D692E"/>
    <w:rsid w:val="007D7D25"/>
    <w:rsid w:val="007E4556"/>
    <w:rsid w:val="007E457A"/>
    <w:rsid w:val="007E515A"/>
    <w:rsid w:val="007E5B6C"/>
    <w:rsid w:val="007F04EE"/>
    <w:rsid w:val="007F14AD"/>
    <w:rsid w:val="007F31EB"/>
    <w:rsid w:val="007F372C"/>
    <w:rsid w:val="007F7268"/>
    <w:rsid w:val="007F7342"/>
    <w:rsid w:val="00800D57"/>
    <w:rsid w:val="008028A4"/>
    <w:rsid w:val="0080333D"/>
    <w:rsid w:val="00804B54"/>
    <w:rsid w:val="00805E0B"/>
    <w:rsid w:val="00806310"/>
    <w:rsid w:val="0081274B"/>
    <w:rsid w:val="00812B0C"/>
    <w:rsid w:val="00813245"/>
    <w:rsid w:val="00815694"/>
    <w:rsid w:val="00815852"/>
    <w:rsid w:val="008168B6"/>
    <w:rsid w:val="00816D27"/>
    <w:rsid w:val="00817883"/>
    <w:rsid w:val="00820686"/>
    <w:rsid w:val="00820AB0"/>
    <w:rsid w:val="0082162B"/>
    <w:rsid w:val="00821AED"/>
    <w:rsid w:val="00822184"/>
    <w:rsid w:val="00823732"/>
    <w:rsid w:val="00823DA9"/>
    <w:rsid w:val="00824755"/>
    <w:rsid w:val="008265B1"/>
    <w:rsid w:val="008267DC"/>
    <w:rsid w:val="00826C47"/>
    <w:rsid w:val="008324A5"/>
    <w:rsid w:val="00834604"/>
    <w:rsid w:val="00834A6D"/>
    <w:rsid w:val="00840BC0"/>
    <w:rsid w:val="00845E80"/>
    <w:rsid w:val="008460EF"/>
    <w:rsid w:val="0084763A"/>
    <w:rsid w:val="00850BBB"/>
    <w:rsid w:val="00854A4F"/>
    <w:rsid w:val="00856127"/>
    <w:rsid w:val="0085698E"/>
    <w:rsid w:val="008571AD"/>
    <w:rsid w:val="00857756"/>
    <w:rsid w:val="00860820"/>
    <w:rsid w:val="00860D01"/>
    <w:rsid w:val="0086528E"/>
    <w:rsid w:val="00867996"/>
    <w:rsid w:val="00867D0B"/>
    <w:rsid w:val="00867F46"/>
    <w:rsid w:val="00870B46"/>
    <w:rsid w:val="00870B58"/>
    <w:rsid w:val="00873320"/>
    <w:rsid w:val="00874665"/>
    <w:rsid w:val="008765A4"/>
    <w:rsid w:val="008768CA"/>
    <w:rsid w:val="008773D4"/>
    <w:rsid w:val="00877EF9"/>
    <w:rsid w:val="00880559"/>
    <w:rsid w:val="00880FF7"/>
    <w:rsid w:val="008811ED"/>
    <w:rsid w:val="00881CEB"/>
    <w:rsid w:val="00881F91"/>
    <w:rsid w:val="00882AE0"/>
    <w:rsid w:val="00882C69"/>
    <w:rsid w:val="00884F4E"/>
    <w:rsid w:val="00886422"/>
    <w:rsid w:val="00887C52"/>
    <w:rsid w:val="008909A8"/>
    <w:rsid w:val="008916F0"/>
    <w:rsid w:val="00893663"/>
    <w:rsid w:val="00894069"/>
    <w:rsid w:val="00895302"/>
    <w:rsid w:val="008953A5"/>
    <w:rsid w:val="008A07BA"/>
    <w:rsid w:val="008A15D5"/>
    <w:rsid w:val="008A203C"/>
    <w:rsid w:val="008A27FC"/>
    <w:rsid w:val="008A2D12"/>
    <w:rsid w:val="008B192A"/>
    <w:rsid w:val="008B1E95"/>
    <w:rsid w:val="008B44F1"/>
    <w:rsid w:val="008B5306"/>
    <w:rsid w:val="008B681A"/>
    <w:rsid w:val="008C06A1"/>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E7484"/>
    <w:rsid w:val="008F2039"/>
    <w:rsid w:val="008F2BF7"/>
    <w:rsid w:val="008F2E9A"/>
    <w:rsid w:val="00901335"/>
    <w:rsid w:val="0090187C"/>
    <w:rsid w:val="009024E8"/>
    <w:rsid w:val="0090271F"/>
    <w:rsid w:val="00902DB9"/>
    <w:rsid w:val="0090466A"/>
    <w:rsid w:val="009047A4"/>
    <w:rsid w:val="009062D3"/>
    <w:rsid w:val="00907DD2"/>
    <w:rsid w:val="00911A3A"/>
    <w:rsid w:val="00911DEA"/>
    <w:rsid w:val="00912CD4"/>
    <w:rsid w:val="009133B8"/>
    <w:rsid w:val="00917ABE"/>
    <w:rsid w:val="0092024A"/>
    <w:rsid w:val="00921F58"/>
    <w:rsid w:val="00922DC1"/>
    <w:rsid w:val="0092322B"/>
    <w:rsid w:val="0092470C"/>
    <w:rsid w:val="00924D2C"/>
    <w:rsid w:val="0092657D"/>
    <w:rsid w:val="00931360"/>
    <w:rsid w:val="00931AF4"/>
    <w:rsid w:val="00933F83"/>
    <w:rsid w:val="00936071"/>
    <w:rsid w:val="00940212"/>
    <w:rsid w:val="0094197F"/>
    <w:rsid w:val="00942E6A"/>
    <w:rsid w:val="00942EC2"/>
    <w:rsid w:val="00944FE1"/>
    <w:rsid w:val="00945B30"/>
    <w:rsid w:val="0094798C"/>
    <w:rsid w:val="00951FC7"/>
    <w:rsid w:val="00952A0E"/>
    <w:rsid w:val="0095306B"/>
    <w:rsid w:val="0095382B"/>
    <w:rsid w:val="00955470"/>
    <w:rsid w:val="00956A9D"/>
    <w:rsid w:val="00957D2B"/>
    <w:rsid w:val="00957E6F"/>
    <w:rsid w:val="00961B32"/>
    <w:rsid w:val="00962174"/>
    <w:rsid w:val="0096294B"/>
    <w:rsid w:val="00963368"/>
    <w:rsid w:val="0096408F"/>
    <w:rsid w:val="00964344"/>
    <w:rsid w:val="009656AD"/>
    <w:rsid w:val="009658F8"/>
    <w:rsid w:val="009709BE"/>
    <w:rsid w:val="00970DB3"/>
    <w:rsid w:val="00971212"/>
    <w:rsid w:val="009738F6"/>
    <w:rsid w:val="00974940"/>
    <w:rsid w:val="00974B05"/>
    <w:rsid w:val="00974BB0"/>
    <w:rsid w:val="0097611F"/>
    <w:rsid w:val="0097702E"/>
    <w:rsid w:val="009777CF"/>
    <w:rsid w:val="00980F2B"/>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A3"/>
    <w:rsid w:val="009B73A2"/>
    <w:rsid w:val="009C059C"/>
    <w:rsid w:val="009C19E9"/>
    <w:rsid w:val="009C1AB5"/>
    <w:rsid w:val="009C2148"/>
    <w:rsid w:val="009C427D"/>
    <w:rsid w:val="009C4B6F"/>
    <w:rsid w:val="009D0363"/>
    <w:rsid w:val="009D0CD3"/>
    <w:rsid w:val="009D13CA"/>
    <w:rsid w:val="009D2DA6"/>
    <w:rsid w:val="009D3714"/>
    <w:rsid w:val="009D4FAF"/>
    <w:rsid w:val="009D5E99"/>
    <w:rsid w:val="009D63AB"/>
    <w:rsid w:val="009D7755"/>
    <w:rsid w:val="009E079A"/>
    <w:rsid w:val="009E1969"/>
    <w:rsid w:val="009E1A17"/>
    <w:rsid w:val="009E2AA6"/>
    <w:rsid w:val="009E3C02"/>
    <w:rsid w:val="009E3D1A"/>
    <w:rsid w:val="009E44ED"/>
    <w:rsid w:val="009E747C"/>
    <w:rsid w:val="009E79BE"/>
    <w:rsid w:val="009F07C1"/>
    <w:rsid w:val="009F10CA"/>
    <w:rsid w:val="009F1F82"/>
    <w:rsid w:val="009F2F08"/>
    <w:rsid w:val="009F7817"/>
    <w:rsid w:val="009F799D"/>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4AEB"/>
    <w:rsid w:val="00A65425"/>
    <w:rsid w:val="00A65C1F"/>
    <w:rsid w:val="00A66990"/>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1395"/>
    <w:rsid w:val="00A954D8"/>
    <w:rsid w:val="00A9671C"/>
    <w:rsid w:val="00A9769E"/>
    <w:rsid w:val="00A97749"/>
    <w:rsid w:val="00AA1553"/>
    <w:rsid w:val="00AA3AC8"/>
    <w:rsid w:val="00AA423E"/>
    <w:rsid w:val="00AA4494"/>
    <w:rsid w:val="00AA57EE"/>
    <w:rsid w:val="00AA7EC1"/>
    <w:rsid w:val="00AB0409"/>
    <w:rsid w:val="00AB0FA6"/>
    <w:rsid w:val="00AB1408"/>
    <w:rsid w:val="00AB163A"/>
    <w:rsid w:val="00AB17A0"/>
    <w:rsid w:val="00AB1A97"/>
    <w:rsid w:val="00AB27C6"/>
    <w:rsid w:val="00AB4F3D"/>
    <w:rsid w:val="00AB504B"/>
    <w:rsid w:val="00AB5117"/>
    <w:rsid w:val="00AB5955"/>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E7DF3"/>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2484"/>
    <w:rsid w:val="00B1514F"/>
    <w:rsid w:val="00B15449"/>
    <w:rsid w:val="00B154C9"/>
    <w:rsid w:val="00B15627"/>
    <w:rsid w:val="00B159C6"/>
    <w:rsid w:val="00B15ADA"/>
    <w:rsid w:val="00B1608D"/>
    <w:rsid w:val="00B1608F"/>
    <w:rsid w:val="00B2397F"/>
    <w:rsid w:val="00B2755F"/>
    <w:rsid w:val="00B30ADA"/>
    <w:rsid w:val="00B331AE"/>
    <w:rsid w:val="00B359B7"/>
    <w:rsid w:val="00B36BDD"/>
    <w:rsid w:val="00B40B5C"/>
    <w:rsid w:val="00B40C67"/>
    <w:rsid w:val="00B42667"/>
    <w:rsid w:val="00B444B8"/>
    <w:rsid w:val="00B4746E"/>
    <w:rsid w:val="00B47FD1"/>
    <w:rsid w:val="00B516BB"/>
    <w:rsid w:val="00B51B0A"/>
    <w:rsid w:val="00B51F57"/>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1757"/>
    <w:rsid w:val="00B82DD7"/>
    <w:rsid w:val="00B83F9A"/>
    <w:rsid w:val="00B84B18"/>
    <w:rsid w:val="00B86A6B"/>
    <w:rsid w:val="00B8722E"/>
    <w:rsid w:val="00B8739B"/>
    <w:rsid w:val="00B912B1"/>
    <w:rsid w:val="00B96CCF"/>
    <w:rsid w:val="00B97C71"/>
    <w:rsid w:val="00B97CBC"/>
    <w:rsid w:val="00BA0EDF"/>
    <w:rsid w:val="00BA2ABC"/>
    <w:rsid w:val="00BA3230"/>
    <w:rsid w:val="00BA37B5"/>
    <w:rsid w:val="00BA3913"/>
    <w:rsid w:val="00BA601F"/>
    <w:rsid w:val="00BA6B3D"/>
    <w:rsid w:val="00BA7FDD"/>
    <w:rsid w:val="00BB1993"/>
    <w:rsid w:val="00BB1D64"/>
    <w:rsid w:val="00BB3CD8"/>
    <w:rsid w:val="00BB5E22"/>
    <w:rsid w:val="00BC02B4"/>
    <w:rsid w:val="00BC136A"/>
    <w:rsid w:val="00BC175D"/>
    <w:rsid w:val="00BC1BBC"/>
    <w:rsid w:val="00BC1C99"/>
    <w:rsid w:val="00BC2D6C"/>
    <w:rsid w:val="00BC3A5F"/>
    <w:rsid w:val="00BC3E21"/>
    <w:rsid w:val="00BC41B5"/>
    <w:rsid w:val="00BC5A4D"/>
    <w:rsid w:val="00BC7783"/>
    <w:rsid w:val="00BD091C"/>
    <w:rsid w:val="00BD1631"/>
    <w:rsid w:val="00BD31D3"/>
    <w:rsid w:val="00BD55FC"/>
    <w:rsid w:val="00BD6273"/>
    <w:rsid w:val="00BD67B1"/>
    <w:rsid w:val="00BD6F07"/>
    <w:rsid w:val="00BD7D65"/>
    <w:rsid w:val="00BE5261"/>
    <w:rsid w:val="00BE7500"/>
    <w:rsid w:val="00BE7B3F"/>
    <w:rsid w:val="00BF2166"/>
    <w:rsid w:val="00BF2ECB"/>
    <w:rsid w:val="00BF4228"/>
    <w:rsid w:val="00BF4416"/>
    <w:rsid w:val="00BF449E"/>
    <w:rsid w:val="00BF46D7"/>
    <w:rsid w:val="00BF5561"/>
    <w:rsid w:val="00BF630D"/>
    <w:rsid w:val="00BF6EB6"/>
    <w:rsid w:val="00C03D2D"/>
    <w:rsid w:val="00C042E6"/>
    <w:rsid w:val="00C060C8"/>
    <w:rsid w:val="00C07B22"/>
    <w:rsid w:val="00C07D96"/>
    <w:rsid w:val="00C07DE1"/>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6446"/>
    <w:rsid w:val="00C27752"/>
    <w:rsid w:val="00C27B36"/>
    <w:rsid w:val="00C31C47"/>
    <w:rsid w:val="00C3228D"/>
    <w:rsid w:val="00C32347"/>
    <w:rsid w:val="00C33079"/>
    <w:rsid w:val="00C330DF"/>
    <w:rsid w:val="00C332F6"/>
    <w:rsid w:val="00C333E9"/>
    <w:rsid w:val="00C34F52"/>
    <w:rsid w:val="00C37FDE"/>
    <w:rsid w:val="00C41500"/>
    <w:rsid w:val="00C42782"/>
    <w:rsid w:val="00C43926"/>
    <w:rsid w:val="00C4443E"/>
    <w:rsid w:val="00C47D2D"/>
    <w:rsid w:val="00C47F3D"/>
    <w:rsid w:val="00C51D27"/>
    <w:rsid w:val="00C54E61"/>
    <w:rsid w:val="00C556FB"/>
    <w:rsid w:val="00C55CEA"/>
    <w:rsid w:val="00C614CA"/>
    <w:rsid w:val="00C614FA"/>
    <w:rsid w:val="00C62547"/>
    <w:rsid w:val="00C62A91"/>
    <w:rsid w:val="00C6309C"/>
    <w:rsid w:val="00C63220"/>
    <w:rsid w:val="00C6391F"/>
    <w:rsid w:val="00C64F82"/>
    <w:rsid w:val="00C65F6D"/>
    <w:rsid w:val="00C65FAE"/>
    <w:rsid w:val="00C7087A"/>
    <w:rsid w:val="00C709E8"/>
    <w:rsid w:val="00C72837"/>
    <w:rsid w:val="00C74A7B"/>
    <w:rsid w:val="00C751DB"/>
    <w:rsid w:val="00C768BB"/>
    <w:rsid w:val="00C773BD"/>
    <w:rsid w:val="00C80E31"/>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E29"/>
    <w:rsid w:val="00CC05BA"/>
    <w:rsid w:val="00CC365E"/>
    <w:rsid w:val="00CD0243"/>
    <w:rsid w:val="00CD1CFE"/>
    <w:rsid w:val="00CD3E58"/>
    <w:rsid w:val="00CD4A61"/>
    <w:rsid w:val="00CD4C7B"/>
    <w:rsid w:val="00CD6435"/>
    <w:rsid w:val="00CD74B6"/>
    <w:rsid w:val="00CE054B"/>
    <w:rsid w:val="00CE3213"/>
    <w:rsid w:val="00CE3BD1"/>
    <w:rsid w:val="00CE3E5A"/>
    <w:rsid w:val="00CE476C"/>
    <w:rsid w:val="00CE57F5"/>
    <w:rsid w:val="00CF07F5"/>
    <w:rsid w:val="00CF2C9F"/>
    <w:rsid w:val="00CF5B76"/>
    <w:rsid w:val="00CF6D52"/>
    <w:rsid w:val="00CF77AE"/>
    <w:rsid w:val="00CF7C3A"/>
    <w:rsid w:val="00D00174"/>
    <w:rsid w:val="00D03B68"/>
    <w:rsid w:val="00D04103"/>
    <w:rsid w:val="00D048E7"/>
    <w:rsid w:val="00D05C9E"/>
    <w:rsid w:val="00D133BA"/>
    <w:rsid w:val="00D20104"/>
    <w:rsid w:val="00D20E7D"/>
    <w:rsid w:val="00D23786"/>
    <w:rsid w:val="00D26AA2"/>
    <w:rsid w:val="00D272E7"/>
    <w:rsid w:val="00D27E3D"/>
    <w:rsid w:val="00D30FC0"/>
    <w:rsid w:val="00D3258F"/>
    <w:rsid w:val="00D33118"/>
    <w:rsid w:val="00D34B1E"/>
    <w:rsid w:val="00D402F5"/>
    <w:rsid w:val="00D41585"/>
    <w:rsid w:val="00D42844"/>
    <w:rsid w:val="00D43109"/>
    <w:rsid w:val="00D44328"/>
    <w:rsid w:val="00D450E9"/>
    <w:rsid w:val="00D45BC0"/>
    <w:rsid w:val="00D50FAB"/>
    <w:rsid w:val="00D548D7"/>
    <w:rsid w:val="00D54EF9"/>
    <w:rsid w:val="00D57B51"/>
    <w:rsid w:val="00D62D62"/>
    <w:rsid w:val="00D62E82"/>
    <w:rsid w:val="00D63BB4"/>
    <w:rsid w:val="00D641AE"/>
    <w:rsid w:val="00D64B2D"/>
    <w:rsid w:val="00D6561B"/>
    <w:rsid w:val="00D66F34"/>
    <w:rsid w:val="00D679C7"/>
    <w:rsid w:val="00D73896"/>
    <w:rsid w:val="00D738D6"/>
    <w:rsid w:val="00D742F4"/>
    <w:rsid w:val="00D75638"/>
    <w:rsid w:val="00D80795"/>
    <w:rsid w:val="00D80F5E"/>
    <w:rsid w:val="00D8694E"/>
    <w:rsid w:val="00D870B2"/>
    <w:rsid w:val="00D87A08"/>
    <w:rsid w:val="00D87E00"/>
    <w:rsid w:val="00D90718"/>
    <w:rsid w:val="00D9134D"/>
    <w:rsid w:val="00D91BCA"/>
    <w:rsid w:val="00D95AF8"/>
    <w:rsid w:val="00D95F4A"/>
    <w:rsid w:val="00D96D11"/>
    <w:rsid w:val="00DA0017"/>
    <w:rsid w:val="00DA046B"/>
    <w:rsid w:val="00DA0867"/>
    <w:rsid w:val="00DA1584"/>
    <w:rsid w:val="00DA1E58"/>
    <w:rsid w:val="00DA2930"/>
    <w:rsid w:val="00DA4533"/>
    <w:rsid w:val="00DA52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443"/>
    <w:rsid w:val="00DD43BA"/>
    <w:rsid w:val="00DD5C4C"/>
    <w:rsid w:val="00DD70FA"/>
    <w:rsid w:val="00DD722F"/>
    <w:rsid w:val="00DE0D91"/>
    <w:rsid w:val="00DE13DA"/>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134FA"/>
    <w:rsid w:val="00E13EA5"/>
    <w:rsid w:val="00E23537"/>
    <w:rsid w:val="00E23F4E"/>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3E0"/>
    <w:rsid w:val="00E56EEF"/>
    <w:rsid w:val="00E5719F"/>
    <w:rsid w:val="00E60CAF"/>
    <w:rsid w:val="00E61B39"/>
    <w:rsid w:val="00E62835"/>
    <w:rsid w:val="00E64523"/>
    <w:rsid w:val="00E6528D"/>
    <w:rsid w:val="00E6683D"/>
    <w:rsid w:val="00E7041F"/>
    <w:rsid w:val="00E70A06"/>
    <w:rsid w:val="00E73610"/>
    <w:rsid w:val="00E73923"/>
    <w:rsid w:val="00E751E7"/>
    <w:rsid w:val="00E759A4"/>
    <w:rsid w:val="00E76317"/>
    <w:rsid w:val="00E76946"/>
    <w:rsid w:val="00E769AC"/>
    <w:rsid w:val="00E77645"/>
    <w:rsid w:val="00E77AE3"/>
    <w:rsid w:val="00E77E21"/>
    <w:rsid w:val="00E810BF"/>
    <w:rsid w:val="00E83697"/>
    <w:rsid w:val="00E83810"/>
    <w:rsid w:val="00E84A03"/>
    <w:rsid w:val="00E854D4"/>
    <w:rsid w:val="00E858CD"/>
    <w:rsid w:val="00E870A0"/>
    <w:rsid w:val="00E91487"/>
    <w:rsid w:val="00E91DDC"/>
    <w:rsid w:val="00E925C9"/>
    <w:rsid w:val="00E92B2F"/>
    <w:rsid w:val="00E9444B"/>
    <w:rsid w:val="00E94C85"/>
    <w:rsid w:val="00EA0AAF"/>
    <w:rsid w:val="00EA12FB"/>
    <w:rsid w:val="00EA1DC3"/>
    <w:rsid w:val="00EA1ED6"/>
    <w:rsid w:val="00EA6CB4"/>
    <w:rsid w:val="00EB2AF5"/>
    <w:rsid w:val="00EB4566"/>
    <w:rsid w:val="00EB4E5D"/>
    <w:rsid w:val="00EB564C"/>
    <w:rsid w:val="00EB7699"/>
    <w:rsid w:val="00EC0A52"/>
    <w:rsid w:val="00EC39EB"/>
    <w:rsid w:val="00EC464F"/>
    <w:rsid w:val="00EC4A25"/>
    <w:rsid w:val="00EC4B07"/>
    <w:rsid w:val="00EC5873"/>
    <w:rsid w:val="00EC5DC4"/>
    <w:rsid w:val="00EC6A06"/>
    <w:rsid w:val="00EC717A"/>
    <w:rsid w:val="00ED09BF"/>
    <w:rsid w:val="00ED0A76"/>
    <w:rsid w:val="00ED1D93"/>
    <w:rsid w:val="00ED20B1"/>
    <w:rsid w:val="00ED43A5"/>
    <w:rsid w:val="00EE1512"/>
    <w:rsid w:val="00EE217F"/>
    <w:rsid w:val="00EE4120"/>
    <w:rsid w:val="00EE44AD"/>
    <w:rsid w:val="00EE52E6"/>
    <w:rsid w:val="00EE7D61"/>
    <w:rsid w:val="00EF1E0A"/>
    <w:rsid w:val="00EF267F"/>
    <w:rsid w:val="00EF2F1F"/>
    <w:rsid w:val="00EF4E32"/>
    <w:rsid w:val="00F025A2"/>
    <w:rsid w:val="00F02FB7"/>
    <w:rsid w:val="00F04C08"/>
    <w:rsid w:val="00F04C45"/>
    <w:rsid w:val="00F05D71"/>
    <w:rsid w:val="00F06F0B"/>
    <w:rsid w:val="00F07388"/>
    <w:rsid w:val="00F07FD6"/>
    <w:rsid w:val="00F107AD"/>
    <w:rsid w:val="00F11D6B"/>
    <w:rsid w:val="00F12B8B"/>
    <w:rsid w:val="00F17066"/>
    <w:rsid w:val="00F2026E"/>
    <w:rsid w:val="00F20B49"/>
    <w:rsid w:val="00F20C7B"/>
    <w:rsid w:val="00F2210A"/>
    <w:rsid w:val="00F24379"/>
    <w:rsid w:val="00F2595D"/>
    <w:rsid w:val="00F26E91"/>
    <w:rsid w:val="00F2754C"/>
    <w:rsid w:val="00F31951"/>
    <w:rsid w:val="00F31CC8"/>
    <w:rsid w:val="00F32173"/>
    <w:rsid w:val="00F3250E"/>
    <w:rsid w:val="00F326D6"/>
    <w:rsid w:val="00F32EE5"/>
    <w:rsid w:val="00F37743"/>
    <w:rsid w:val="00F40310"/>
    <w:rsid w:val="00F42B86"/>
    <w:rsid w:val="00F44FCE"/>
    <w:rsid w:val="00F47078"/>
    <w:rsid w:val="00F4731F"/>
    <w:rsid w:val="00F5219D"/>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777E4"/>
    <w:rsid w:val="00F80BD2"/>
    <w:rsid w:val="00F80C4B"/>
    <w:rsid w:val="00F80F72"/>
    <w:rsid w:val="00F81496"/>
    <w:rsid w:val="00F8151C"/>
    <w:rsid w:val="00F83135"/>
    <w:rsid w:val="00F84AD1"/>
    <w:rsid w:val="00F8529B"/>
    <w:rsid w:val="00F8570F"/>
    <w:rsid w:val="00F8639A"/>
    <w:rsid w:val="00F901C5"/>
    <w:rsid w:val="00F941A4"/>
    <w:rsid w:val="00F97D6E"/>
    <w:rsid w:val="00FA0274"/>
    <w:rsid w:val="00FA0D44"/>
    <w:rsid w:val="00FA1266"/>
    <w:rsid w:val="00FA1C5C"/>
    <w:rsid w:val="00FA22EE"/>
    <w:rsid w:val="00FA2EA8"/>
    <w:rsid w:val="00FA4BA7"/>
    <w:rsid w:val="00FA6B50"/>
    <w:rsid w:val="00FA7156"/>
    <w:rsid w:val="00FA760F"/>
    <w:rsid w:val="00FA7A0F"/>
    <w:rsid w:val="00FB0844"/>
    <w:rsid w:val="00FB0A43"/>
    <w:rsid w:val="00FB0FCA"/>
    <w:rsid w:val="00FB11CA"/>
    <w:rsid w:val="00FB16A0"/>
    <w:rsid w:val="00FB1ACE"/>
    <w:rsid w:val="00FB1FDF"/>
    <w:rsid w:val="00FB2598"/>
    <w:rsid w:val="00FB4507"/>
    <w:rsid w:val="00FB46CA"/>
    <w:rsid w:val="00FB69F2"/>
    <w:rsid w:val="00FC0B77"/>
    <w:rsid w:val="00FC1192"/>
    <w:rsid w:val="00FC40D3"/>
    <w:rsid w:val="00FC5133"/>
    <w:rsid w:val="00FC5693"/>
    <w:rsid w:val="00FC77D8"/>
    <w:rsid w:val="00FD03E5"/>
    <w:rsid w:val="00FD1906"/>
    <w:rsid w:val="00FD1FA7"/>
    <w:rsid w:val="00FD2CBF"/>
    <w:rsid w:val="00FD32B0"/>
    <w:rsid w:val="00FD4EDD"/>
    <w:rsid w:val="00FD69F4"/>
    <w:rsid w:val="00FE0DB2"/>
    <w:rsid w:val="00FE55FB"/>
    <w:rsid w:val="00FE5909"/>
    <w:rsid w:val="00FF05DE"/>
    <w:rsid w:val="00FF0BC3"/>
    <w:rsid w:val="00FF36EC"/>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customStyle="1" w:styleId="B1Char1">
    <w:name w:val="B1 Char1"/>
    <w:link w:val="B1"/>
    <w:rsid w:val="002A4D88"/>
    <w:rPr>
      <w:lang w:val="en-GB"/>
    </w:rPr>
  </w:style>
  <w:style w:type="character" w:customStyle="1" w:styleId="NOChar">
    <w:name w:val="NO Char"/>
    <w:link w:val="NO"/>
    <w:rsid w:val="002A4D8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2022-09-27T21:34:00Z</dcterms:created>
  <dcterms:modified xsi:type="dcterms:W3CDTF">2022-09-27T21:35:00Z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